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Siatka"/>
        <w:tblW w:w="0" w:type="auto"/>
        <w:jc w:val="center"/>
        <w:tblLook w:val="04A0" w:firstRow="1" w:lastRow="0" w:firstColumn="1" w:lastColumn="0" w:noHBand="0" w:noVBand="1"/>
      </w:tblPr>
      <w:tblGrid>
        <w:gridCol w:w="554"/>
        <w:gridCol w:w="1931"/>
        <w:gridCol w:w="1905"/>
        <w:gridCol w:w="5670"/>
        <w:gridCol w:w="4160"/>
      </w:tblGrid>
      <w:tr w:rsidR="00E35677" w:rsidRPr="00FF4480" w14:paraId="0F31B896" w14:textId="77777777" w:rsidTr="002F40D5">
        <w:trPr>
          <w:trHeight w:val="592"/>
          <w:jc w:val="center"/>
        </w:trPr>
        <w:tc>
          <w:tcPr>
            <w:tcW w:w="14220" w:type="dxa"/>
            <w:gridSpan w:val="5"/>
            <w:shd w:val="clear" w:color="auto" w:fill="C6D9F1" w:themeFill="text2" w:themeFillTint="33"/>
            <w:vAlign w:val="center"/>
          </w:tcPr>
          <w:p w14:paraId="35C63024" w14:textId="72803025" w:rsidR="00E35677" w:rsidRPr="008842F2" w:rsidRDefault="00EB75E2" w:rsidP="00741A58">
            <w:pPr>
              <w:jc w:val="center"/>
              <w:rPr>
                <w:rFonts w:ascii="Times New Roman" w:hAnsi="Times New Roman" w:cs="Times New Roman"/>
                <w:b/>
                <w:i/>
                <w:iCs/>
                <w:sz w:val="28"/>
                <w:lang w:eastAsia="pl-PL"/>
              </w:rPr>
            </w:pPr>
            <w:r>
              <w:rPr>
                <w:rFonts w:ascii="Times New Roman" w:hAnsi="Times New Roman" w:cs="Times New Roman"/>
                <w:b/>
                <w:sz w:val="24"/>
                <w:szCs w:val="24"/>
                <w:lang w:eastAsia="pl-PL"/>
              </w:rPr>
              <w:t xml:space="preserve"> </w:t>
            </w:r>
            <w:r w:rsidR="00E35677" w:rsidRPr="002A6ED8">
              <w:rPr>
                <w:rFonts w:ascii="Times New Roman" w:hAnsi="Times New Roman" w:cs="Times New Roman"/>
                <w:b/>
                <w:sz w:val="24"/>
                <w:szCs w:val="24"/>
                <w:lang w:eastAsia="pl-PL"/>
              </w:rPr>
              <w:t xml:space="preserve">Uwagi do projektu </w:t>
            </w:r>
            <w:r w:rsidR="00741A58" w:rsidRPr="00741A58">
              <w:rPr>
                <w:rFonts w:ascii="Times New Roman" w:hAnsi="Times New Roman" w:cs="Times New Roman"/>
                <w:b/>
                <w:sz w:val="24"/>
                <w:szCs w:val="24"/>
                <w:lang w:eastAsia="pl-PL"/>
              </w:rPr>
              <w:t xml:space="preserve">ustawy o </w:t>
            </w:r>
            <w:r w:rsidR="00F52A54" w:rsidRPr="00F52A54">
              <w:rPr>
                <w:rFonts w:ascii="Times New Roman" w:hAnsi="Times New Roman" w:cs="Times New Roman"/>
                <w:b/>
                <w:sz w:val="24"/>
                <w:szCs w:val="24"/>
                <w:lang w:eastAsia="pl-PL"/>
              </w:rPr>
              <w:t>zmianie ustawy o ochronie praw nabywcy lokalu mieszkalnego lub domu jednorodzinnego oraz Deweloperskim Funduszu Gwarancyjnym oraz niektórych innych ustaw</w:t>
            </w:r>
            <w:r w:rsidR="005D7262">
              <w:rPr>
                <w:rFonts w:ascii="Times New Roman" w:hAnsi="Times New Roman" w:cs="Times New Roman"/>
                <w:b/>
                <w:sz w:val="24"/>
                <w:szCs w:val="24"/>
                <w:lang w:eastAsia="pl-PL"/>
              </w:rPr>
              <w:t xml:space="preserve"> </w:t>
            </w:r>
            <w:r w:rsidR="00E35677" w:rsidRPr="00E35677">
              <w:rPr>
                <w:rFonts w:ascii="Times New Roman" w:hAnsi="Times New Roman" w:cs="Times New Roman"/>
                <w:sz w:val="20"/>
                <w:szCs w:val="20"/>
                <w:lang w:eastAsia="pl-PL"/>
              </w:rPr>
              <w:t xml:space="preserve">(projekt z </w:t>
            </w:r>
            <w:r w:rsidR="00D00DBB">
              <w:rPr>
                <w:rFonts w:ascii="Times New Roman" w:hAnsi="Times New Roman" w:cs="Times New Roman"/>
                <w:sz w:val="20"/>
                <w:szCs w:val="20"/>
                <w:lang w:eastAsia="pl-PL"/>
              </w:rPr>
              <w:t>9</w:t>
            </w:r>
            <w:r w:rsidR="00F52A54" w:rsidRPr="00D00DBB">
              <w:rPr>
                <w:rFonts w:ascii="Times New Roman" w:hAnsi="Times New Roman" w:cs="Times New Roman"/>
                <w:sz w:val="20"/>
                <w:szCs w:val="20"/>
                <w:lang w:eastAsia="pl-PL"/>
              </w:rPr>
              <w:t xml:space="preserve"> </w:t>
            </w:r>
            <w:r w:rsidR="00D00DBB">
              <w:rPr>
                <w:rFonts w:ascii="Times New Roman" w:hAnsi="Times New Roman" w:cs="Times New Roman"/>
                <w:sz w:val="20"/>
                <w:szCs w:val="20"/>
                <w:lang w:eastAsia="pl-PL"/>
              </w:rPr>
              <w:t>września</w:t>
            </w:r>
            <w:r w:rsidR="00F52A54" w:rsidRPr="00D00DBB">
              <w:rPr>
                <w:rFonts w:ascii="Times New Roman" w:hAnsi="Times New Roman" w:cs="Times New Roman"/>
                <w:sz w:val="20"/>
                <w:szCs w:val="20"/>
                <w:lang w:eastAsia="pl-PL"/>
              </w:rPr>
              <w:t xml:space="preserve"> 2024 r.)</w:t>
            </w:r>
          </w:p>
        </w:tc>
      </w:tr>
      <w:tr w:rsidR="008842F2" w:rsidRPr="00FF4480" w14:paraId="1BCABE49" w14:textId="77777777" w:rsidTr="002F40D5">
        <w:trPr>
          <w:jc w:val="center"/>
        </w:trPr>
        <w:tc>
          <w:tcPr>
            <w:tcW w:w="14220" w:type="dxa"/>
            <w:gridSpan w:val="5"/>
            <w:shd w:val="clear" w:color="auto" w:fill="C6D9F1" w:themeFill="text2" w:themeFillTint="33"/>
          </w:tcPr>
          <w:p w14:paraId="01830E5D" w14:textId="77777777" w:rsidR="008842F2" w:rsidRPr="00865AF4" w:rsidRDefault="008842F2" w:rsidP="008842F2">
            <w:pPr>
              <w:spacing w:before="120" w:after="120"/>
              <w:jc w:val="center"/>
              <w:rPr>
                <w:rFonts w:ascii="Times New Roman" w:hAnsi="Times New Roman" w:cs="Times New Roman"/>
                <w:b/>
                <w:bCs/>
                <w:color w:val="365F91" w:themeColor="accent1" w:themeShade="BF"/>
                <w:sz w:val="24"/>
                <w:szCs w:val="24"/>
              </w:rPr>
            </w:pPr>
            <w:r w:rsidRPr="00865AF4">
              <w:rPr>
                <w:rFonts w:ascii="Times New Roman" w:hAnsi="Times New Roman" w:cs="Times New Roman"/>
                <w:b/>
                <w:bCs/>
                <w:color w:val="000000" w:themeColor="text1"/>
                <w:sz w:val="24"/>
                <w:szCs w:val="24"/>
              </w:rPr>
              <w:t xml:space="preserve">Uwagi </w:t>
            </w:r>
            <w:r w:rsidR="00865AF4">
              <w:rPr>
                <w:rFonts w:ascii="Times New Roman" w:hAnsi="Times New Roman" w:cs="Times New Roman"/>
                <w:b/>
                <w:bCs/>
                <w:color w:val="000000" w:themeColor="text1"/>
                <w:sz w:val="24"/>
                <w:szCs w:val="24"/>
              </w:rPr>
              <w:t>ogólne</w:t>
            </w:r>
          </w:p>
        </w:tc>
      </w:tr>
      <w:tr w:rsidR="00E35677" w:rsidRPr="00FF4480" w14:paraId="0B559BFD" w14:textId="77777777" w:rsidTr="00E9565F">
        <w:trPr>
          <w:jc w:val="center"/>
        </w:trPr>
        <w:tc>
          <w:tcPr>
            <w:tcW w:w="554" w:type="dxa"/>
          </w:tcPr>
          <w:p w14:paraId="1E3A8A5B" w14:textId="77777777" w:rsidR="00E35677" w:rsidRPr="00FF4480" w:rsidRDefault="00E35677"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46DA9442" w14:textId="109D91BB" w:rsidR="00E35677" w:rsidRPr="00FF4480" w:rsidRDefault="00406800" w:rsidP="008E3179">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4A768197" w14:textId="200BE4A3" w:rsidR="00E35677" w:rsidRPr="00FF4480" w:rsidRDefault="00406800" w:rsidP="000911E2">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0FB3D9DF" w14:textId="0AA9E0B1" w:rsidR="00406800" w:rsidRPr="00406800" w:rsidRDefault="00406800" w:rsidP="00406800">
            <w:pPr>
              <w:spacing w:before="120" w:after="120"/>
              <w:jc w:val="both"/>
              <w:rPr>
                <w:rFonts w:ascii="Times New Roman" w:hAnsi="Times New Roman" w:cs="Times New Roman"/>
                <w:sz w:val="20"/>
              </w:rPr>
            </w:pPr>
            <w:r w:rsidRPr="00406800">
              <w:rPr>
                <w:rFonts w:ascii="Times New Roman" w:hAnsi="Times New Roman" w:cs="Times New Roman"/>
                <w:sz w:val="20"/>
              </w:rPr>
              <w:t>Warto zauważyć, że projekt zdaje się pomijać odniesienie do istniejącego Rejestru Cen Nieruchomości (RCN), prowadzonego przez starostów. W kontekście uzasadnienia i OSR omawianego projektu, można zauważyć, że RCN w obecnej formie charakteryzuje się długim czasem oczekiwania na wprowadzenie danych o</w:t>
            </w:r>
            <w:r w:rsidR="00295756">
              <w:rPr>
                <w:rFonts w:ascii="Times New Roman" w:hAnsi="Times New Roman" w:cs="Times New Roman"/>
                <w:sz w:val="20"/>
              </w:rPr>
              <w:t> </w:t>
            </w:r>
            <w:r w:rsidRPr="00406800">
              <w:rPr>
                <w:rFonts w:ascii="Times New Roman" w:hAnsi="Times New Roman" w:cs="Times New Roman"/>
                <w:sz w:val="20"/>
              </w:rPr>
              <w:t>transakcjach, co wynika z konieczności przetwarzania informacji z</w:t>
            </w:r>
            <w:r w:rsidR="00295756">
              <w:rPr>
                <w:rFonts w:ascii="Times New Roman" w:hAnsi="Times New Roman" w:cs="Times New Roman"/>
                <w:sz w:val="20"/>
              </w:rPr>
              <w:t> </w:t>
            </w:r>
            <w:r w:rsidRPr="00406800">
              <w:rPr>
                <w:rFonts w:ascii="Times New Roman" w:hAnsi="Times New Roman" w:cs="Times New Roman"/>
                <w:sz w:val="20"/>
              </w:rPr>
              <w:t>aktów notarialnych, a także błędów, które mogą pojawiać się w</w:t>
            </w:r>
            <w:r w:rsidR="00295756">
              <w:rPr>
                <w:rFonts w:ascii="Times New Roman" w:hAnsi="Times New Roman" w:cs="Times New Roman"/>
                <w:sz w:val="20"/>
              </w:rPr>
              <w:t> </w:t>
            </w:r>
            <w:r w:rsidRPr="00406800">
              <w:rPr>
                <w:rFonts w:ascii="Times New Roman" w:hAnsi="Times New Roman" w:cs="Times New Roman"/>
                <w:sz w:val="20"/>
              </w:rPr>
              <w:t>tym procesie. RCN stanowi kluczowe źródło danych dla statystyk rynku nieruchomości oraz dla wycen sporządzanych przez rzeczoznawców majątkowych, a także dla instytucji takich jak sądy czy banki. Potencjalny rozdźwięk między informacjami dostępnymi na Portalu DOM a wycenami rzeczoznawców, które opierają się na innym zbiorze danych, może być problematyczny. Dla osób fizycznych, które nie są profesjonalistami na rynku nieruchomości i</w:t>
            </w:r>
            <w:r w:rsidR="00295756">
              <w:rPr>
                <w:rFonts w:ascii="Times New Roman" w:hAnsi="Times New Roman" w:cs="Times New Roman"/>
                <w:sz w:val="20"/>
              </w:rPr>
              <w:t> </w:t>
            </w:r>
            <w:r w:rsidRPr="00406800">
              <w:rPr>
                <w:rFonts w:ascii="Times New Roman" w:hAnsi="Times New Roman" w:cs="Times New Roman"/>
                <w:sz w:val="20"/>
              </w:rPr>
              <w:t>nie znają tych zasad, konsekwencje takich rozbieżności mogą być poważne.</w:t>
            </w:r>
          </w:p>
          <w:p w14:paraId="6FD3894C" w14:textId="550C9C19" w:rsidR="008E3179" w:rsidRPr="008E3179" w:rsidRDefault="00406800" w:rsidP="008E3179">
            <w:pPr>
              <w:spacing w:before="120" w:after="120"/>
              <w:jc w:val="both"/>
              <w:rPr>
                <w:rFonts w:ascii="Times New Roman" w:hAnsi="Times New Roman" w:cs="Times New Roman"/>
                <w:sz w:val="20"/>
              </w:rPr>
            </w:pPr>
            <w:r w:rsidRPr="00406800">
              <w:rPr>
                <w:rFonts w:ascii="Times New Roman" w:hAnsi="Times New Roman" w:cs="Times New Roman"/>
                <w:sz w:val="20"/>
              </w:rPr>
              <w:t>Tworzenie alternatywnego źródła informacji o cenach nieruchomości, obok RCN, może wprowadzać w błąd uczestników rynku, którzy nie są zaznajomieni z wymogami prawnymi, na przykład związanymi z wyceną mieszkań w kontekście kredytów hipotecznych czy postępowań sądowych. Wiele samorządów, zwłaszcza w dużych miastach (np. Warszawa, Kraków), gdzie obrót nieruchomościami jest intensywny, od lat udostępnia statystycznie opracowane dane o cenach, korzystając właśnie z informacji z RCN.</w:t>
            </w:r>
          </w:p>
        </w:tc>
        <w:tc>
          <w:tcPr>
            <w:tcW w:w="4160" w:type="dxa"/>
          </w:tcPr>
          <w:p w14:paraId="0C8ED9DC" w14:textId="509E2DAB" w:rsidR="00A33FF5" w:rsidRPr="00AE21CB" w:rsidRDefault="00AE21CB" w:rsidP="0030247D">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t>Komentarz do uwagi</w:t>
            </w:r>
            <w:r w:rsidR="009C124A">
              <w:rPr>
                <w:rFonts w:ascii="Times New Roman" w:hAnsi="Times New Roman" w:cs="Times New Roman"/>
                <w:sz w:val="20"/>
                <w:u w:val="single"/>
              </w:rPr>
              <w:t xml:space="preserve"> </w:t>
            </w:r>
          </w:p>
          <w:p w14:paraId="6F9E047D" w14:textId="77777777" w:rsidR="00EA21A9" w:rsidRDefault="00AE21CB" w:rsidP="0030247D">
            <w:pPr>
              <w:spacing w:before="120" w:after="120"/>
              <w:jc w:val="both"/>
              <w:rPr>
                <w:rFonts w:ascii="Times New Roman" w:hAnsi="Times New Roman" w:cs="Times New Roman"/>
                <w:sz w:val="20"/>
              </w:rPr>
            </w:pPr>
            <w:r>
              <w:rPr>
                <w:rFonts w:ascii="Times New Roman" w:hAnsi="Times New Roman" w:cs="Times New Roman"/>
                <w:sz w:val="20"/>
              </w:rPr>
              <w:t xml:space="preserve">Propozycja stworzenia Portalu DOM jest odpowiedzią m.in. na </w:t>
            </w:r>
            <w:r w:rsidR="00256D62">
              <w:rPr>
                <w:rFonts w:ascii="Times New Roman" w:hAnsi="Times New Roman" w:cs="Times New Roman"/>
                <w:sz w:val="20"/>
              </w:rPr>
              <w:t>braki zdiagnozowane w kontekście funkcjonowania dostępnych baz informacji o nieruchomościach mieszkaniowych.</w:t>
            </w:r>
            <w:r w:rsidR="00EA21A9">
              <w:rPr>
                <w:rFonts w:ascii="Times New Roman" w:hAnsi="Times New Roman" w:cs="Times New Roman"/>
                <w:sz w:val="20"/>
              </w:rPr>
              <w:t xml:space="preserve"> </w:t>
            </w:r>
          </w:p>
          <w:p w14:paraId="0B2B30DE" w14:textId="0E42DAC4" w:rsidR="00256D62" w:rsidRDefault="00AE21CB" w:rsidP="0030247D">
            <w:pPr>
              <w:spacing w:before="120" w:after="120"/>
              <w:jc w:val="both"/>
              <w:rPr>
                <w:rFonts w:ascii="Times New Roman" w:hAnsi="Times New Roman" w:cs="Times New Roman"/>
                <w:sz w:val="20"/>
              </w:rPr>
            </w:pPr>
            <w:r w:rsidRPr="00AE21CB">
              <w:rPr>
                <w:rFonts w:ascii="Times New Roman" w:hAnsi="Times New Roman" w:cs="Times New Roman"/>
                <w:sz w:val="20"/>
              </w:rPr>
              <w:t xml:space="preserve">Jedną z przyczyn zainicjowania prac nad Portalem </w:t>
            </w:r>
            <w:r>
              <w:rPr>
                <w:rFonts w:ascii="Times New Roman" w:hAnsi="Times New Roman" w:cs="Times New Roman"/>
                <w:sz w:val="20"/>
              </w:rPr>
              <w:t xml:space="preserve">DOM </w:t>
            </w:r>
            <w:r w:rsidRPr="00AE21CB">
              <w:rPr>
                <w:rFonts w:ascii="Times New Roman" w:hAnsi="Times New Roman" w:cs="Times New Roman"/>
                <w:sz w:val="20"/>
              </w:rPr>
              <w:t xml:space="preserve">jest </w:t>
            </w:r>
            <w:r w:rsidR="006F4E97">
              <w:rPr>
                <w:rFonts w:ascii="Times New Roman" w:hAnsi="Times New Roman" w:cs="Times New Roman"/>
                <w:sz w:val="20"/>
              </w:rPr>
              <w:t xml:space="preserve">potrzeba </w:t>
            </w:r>
            <w:r w:rsidRPr="00AE21CB">
              <w:rPr>
                <w:rFonts w:ascii="Times New Roman" w:hAnsi="Times New Roman" w:cs="Times New Roman"/>
                <w:sz w:val="20"/>
              </w:rPr>
              <w:t>stworzeni</w:t>
            </w:r>
            <w:r w:rsidR="006F4E97">
              <w:rPr>
                <w:rFonts w:ascii="Times New Roman" w:hAnsi="Times New Roman" w:cs="Times New Roman"/>
                <w:sz w:val="20"/>
              </w:rPr>
              <w:t>a</w:t>
            </w:r>
            <w:r w:rsidRPr="00AE21CB">
              <w:rPr>
                <w:rFonts w:ascii="Times New Roman" w:hAnsi="Times New Roman" w:cs="Times New Roman"/>
                <w:sz w:val="20"/>
              </w:rPr>
              <w:t xml:space="preserve"> aktualnego i</w:t>
            </w:r>
            <w:r>
              <w:rPr>
                <w:rFonts w:ascii="Times New Roman" w:hAnsi="Times New Roman" w:cs="Times New Roman"/>
                <w:sz w:val="20"/>
              </w:rPr>
              <w:t> </w:t>
            </w:r>
            <w:r w:rsidRPr="00AE21CB">
              <w:rPr>
                <w:rFonts w:ascii="Times New Roman" w:hAnsi="Times New Roman" w:cs="Times New Roman"/>
                <w:sz w:val="20"/>
              </w:rPr>
              <w:t xml:space="preserve">wiarygodnego źródła </w:t>
            </w:r>
            <w:r w:rsidR="00EA21A9">
              <w:rPr>
                <w:rFonts w:ascii="Times New Roman" w:hAnsi="Times New Roman" w:cs="Times New Roman"/>
                <w:sz w:val="20"/>
              </w:rPr>
              <w:t>informacji</w:t>
            </w:r>
            <w:r w:rsidRPr="00AE21CB">
              <w:rPr>
                <w:rFonts w:ascii="Times New Roman" w:hAnsi="Times New Roman" w:cs="Times New Roman"/>
                <w:sz w:val="20"/>
              </w:rPr>
              <w:t xml:space="preserve"> o</w:t>
            </w:r>
            <w:r w:rsidR="006F4E97">
              <w:rPr>
                <w:rFonts w:ascii="Times New Roman" w:hAnsi="Times New Roman" w:cs="Times New Roman"/>
                <w:sz w:val="20"/>
              </w:rPr>
              <w:t> </w:t>
            </w:r>
            <w:r w:rsidRPr="00AE21CB">
              <w:rPr>
                <w:rFonts w:ascii="Times New Roman" w:hAnsi="Times New Roman" w:cs="Times New Roman"/>
                <w:sz w:val="20"/>
              </w:rPr>
              <w:t>średnich cenach transakcyjnych nieruchomości mieszkaniowych.</w:t>
            </w:r>
            <w:r w:rsidR="00EA21A9">
              <w:rPr>
                <w:rFonts w:ascii="Times New Roman" w:hAnsi="Times New Roman" w:cs="Times New Roman"/>
                <w:sz w:val="20"/>
              </w:rPr>
              <w:t xml:space="preserve"> Portal DOM i RCN</w:t>
            </w:r>
            <w:r w:rsidRPr="00AE21CB">
              <w:rPr>
                <w:rFonts w:ascii="Times New Roman" w:hAnsi="Times New Roman" w:cs="Times New Roman"/>
                <w:sz w:val="20"/>
              </w:rPr>
              <w:t xml:space="preserve"> spełniają </w:t>
            </w:r>
            <w:r>
              <w:rPr>
                <w:rFonts w:ascii="Times New Roman" w:hAnsi="Times New Roman" w:cs="Times New Roman"/>
                <w:sz w:val="20"/>
              </w:rPr>
              <w:t xml:space="preserve">zatem </w:t>
            </w:r>
            <w:r w:rsidRPr="00AE21CB">
              <w:rPr>
                <w:rFonts w:ascii="Times New Roman" w:hAnsi="Times New Roman" w:cs="Times New Roman"/>
                <w:sz w:val="20"/>
              </w:rPr>
              <w:t xml:space="preserve">odmienne cele. Wartością projektowanego </w:t>
            </w:r>
            <w:r w:rsidR="007C052F">
              <w:rPr>
                <w:rFonts w:ascii="Times New Roman" w:hAnsi="Times New Roman" w:cs="Times New Roman"/>
                <w:sz w:val="20"/>
              </w:rPr>
              <w:t>p</w:t>
            </w:r>
            <w:r w:rsidRPr="00AE21CB">
              <w:rPr>
                <w:rFonts w:ascii="Times New Roman" w:hAnsi="Times New Roman" w:cs="Times New Roman"/>
                <w:sz w:val="20"/>
              </w:rPr>
              <w:t>ortalu w</w:t>
            </w:r>
            <w:r>
              <w:rPr>
                <w:rFonts w:ascii="Times New Roman" w:hAnsi="Times New Roman" w:cs="Times New Roman"/>
                <w:sz w:val="20"/>
              </w:rPr>
              <w:t> </w:t>
            </w:r>
            <w:r w:rsidR="007C052F">
              <w:rPr>
                <w:rFonts w:ascii="Times New Roman" w:hAnsi="Times New Roman" w:cs="Times New Roman"/>
                <w:sz w:val="20"/>
              </w:rPr>
              <w:t>relacji</w:t>
            </w:r>
            <w:r w:rsidRPr="00AE21CB">
              <w:rPr>
                <w:rFonts w:ascii="Times New Roman" w:hAnsi="Times New Roman" w:cs="Times New Roman"/>
                <w:sz w:val="20"/>
              </w:rPr>
              <w:t xml:space="preserve"> do funkcjonujących już baz </w:t>
            </w:r>
            <w:r>
              <w:rPr>
                <w:rFonts w:ascii="Times New Roman" w:hAnsi="Times New Roman" w:cs="Times New Roman"/>
                <w:sz w:val="20"/>
              </w:rPr>
              <w:t xml:space="preserve">informacji o cenach nieruchomości mieszkaniowych </w:t>
            </w:r>
            <w:r w:rsidRPr="00AE21CB">
              <w:rPr>
                <w:rFonts w:ascii="Times New Roman" w:hAnsi="Times New Roman" w:cs="Times New Roman"/>
                <w:sz w:val="20"/>
              </w:rPr>
              <w:t>będzie przede wszystkim szybsze publikowanie informacji o cenach, co</w:t>
            </w:r>
            <w:r w:rsidR="00256D62">
              <w:rPr>
                <w:rFonts w:ascii="Times New Roman" w:hAnsi="Times New Roman" w:cs="Times New Roman"/>
                <w:sz w:val="20"/>
              </w:rPr>
              <w:t> </w:t>
            </w:r>
            <w:r w:rsidRPr="00AE21CB">
              <w:rPr>
                <w:rFonts w:ascii="Times New Roman" w:hAnsi="Times New Roman" w:cs="Times New Roman"/>
                <w:sz w:val="20"/>
              </w:rPr>
              <w:t>powinno być ważnym punktem odniesienia dla osób poszukujących mieszkania lub domu jednorodzinnego.</w:t>
            </w:r>
            <w:r w:rsidR="00BF4E3B">
              <w:t xml:space="preserve"> </w:t>
            </w:r>
            <w:r w:rsidR="00BF4E3B" w:rsidRPr="00BF4E3B">
              <w:rPr>
                <w:rFonts w:ascii="Times New Roman" w:hAnsi="Times New Roman" w:cs="Times New Roman"/>
                <w:sz w:val="20"/>
              </w:rPr>
              <w:t>RCN może stanowić dobre źródło danych o liczbie, kwocie i rodzajach transakcji dokonywanych na rynku nieruchomości, ale – ze względu na opóźnienia w</w:t>
            </w:r>
            <w:r w:rsidR="00BF4E3B">
              <w:rPr>
                <w:rFonts w:ascii="Times New Roman" w:hAnsi="Times New Roman" w:cs="Times New Roman"/>
                <w:sz w:val="20"/>
              </w:rPr>
              <w:t> </w:t>
            </w:r>
            <w:r w:rsidR="00BF4E3B" w:rsidRPr="00BF4E3B">
              <w:rPr>
                <w:rFonts w:ascii="Times New Roman" w:hAnsi="Times New Roman" w:cs="Times New Roman"/>
                <w:sz w:val="20"/>
              </w:rPr>
              <w:t>jego uzupełnianiu przez starostwa – tylko w</w:t>
            </w:r>
            <w:r w:rsidR="00BF4E3B">
              <w:rPr>
                <w:rFonts w:ascii="Times New Roman" w:hAnsi="Times New Roman" w:cs="Times New Roman"/>
                <w:sz w:val="20"/>
              </w:rPr>
              <w:t> </w:t>
            </w:r>
            <w:r w:rsidR="00BF4E3B" w:rsidRPr="00BF4E3B">
              <w:rPr>
                <w:rFonts w:ascii="Times New Roman" w:hAnsi="Times New Roman" w:cs="Times New Roman"/>
                <w:sz w:val="20"/>
              </w:rPr>
              <w:t>aspekcie historycznym. W związku z tym ma ograniczoną przydatność dla nabywców poszukujących mieszkania w danych realiach rynkowych.</w:t>
            </w:r>
          </w:p>
          <w:p w14:paraId="357CAF15" w14:textId="1EE0F327" w:rsidR="00256D62" w:rsidRPr="00125057" w:rsidRDefault="00256D62" w:rsidP="0030247D">
            <w:pPr>
              <w:spacing w:before="120" w:after="120"/>
              <w:jc w:val="both"/>
              <w:rPr>
                <w:rFonts w:ascii="Times New Roman" w:hAnsi="Times New Roman" w:cs="Times New Roman"/>
                <w:sz w:val="20"/>
              </w:rPr>
            </w:pPr>
            <w:r>
              <w:rPr>
                <w:rFonts w:ascii="Times New Roman" w:hAnsi="Times New Roman" w:cs="Times New Roman"/>
                <w:sz w:val="20"/>
              </w:rPr>
              <w:t>Nie należy przy tym zapominać, że informacje dostępne w Portalu DOM będą informacjami o przeciętnych cenach transakcyjnych nieruchomości mieszkaniowych, a zatem informacjami generowanymi na podstawie wielu transakcji.</w:t>
            </w:r>
          </w:p>
        </w:tc>
      </w:tr>
      <w:tr w:rsidR="00341509" w:rsidRPr="00FF4480" w14:paraId="67C29A6A" w14:textId="77777777" w:rsidTr="00E9565F">
        <w:trPr>
          <w:jc w:val="center"/>
        </w:trPr>
        <w:tc>
          <w:tcPr>
            <w:tcW w:w="554" w:type="dxa"/>
          </w:tcPr>
          <w:p w14:paraId="7F88B8E7" w14:textId="77777777" w:rsidR="00341509" w:rsidRPr="00FF4480" w:rsidRDefault="00341509"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3B2A60D7" w14:textId="212CC9B6" w:rsidR="00341509" w:rsidRPr="00406800" w:rsidRDefault="00341509" w:rsidP="008E3179">
            <w:pPr>
              <w:spacing w:before="120" w:after="120"/>
              <w:rPr>
                <w:rFonts w:ascii="Times New Roman" w:hAnsi="Times New Roman" w:cs="Times New Roman"/>
                <w:sz w:val="20"/>
              </w:rPr>
            </w:pPr>
            <w:r>
              <w:rPr>
                <w:rFonts w:ascii="Times New Roman" w:hAnsi="Times New Roman" w:cs="Times New Roman"/>
                <w:sz w:val="20"/>
              </w:rPr>
              <w:t>Stowarzyszenie Notariuszy RP</w:t>
            </w:r>
          </w:p>
        </w:tc>
        <w:tc>
          <w:tcPr>
            <w:tcW w:w="1905" w:type="dxa"/>
            <w:vAlign w:val="center"/>
          </w:tcPr>
          <w:p w14:paraId="63D1F9BC" w14:textId="4E43045D" w:rsidR="00341509" w:rsidRDefault="00341509" w:rsidP="000911E2">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77912A7C" w14:textId="00540174" w:rsidR="00EB76E8" w:rsidRDefault="00EB76E8" w:rsidP="00406800">
            <w:pPr>
              <w:spacing w:before="120" w:after="120"/>
              <w:jc w:val="both"/>
              <w:rPr>
                <w:rFonts w:ascii="Times New Roman" w:hAnsi="Times New Roman" w:cs="Times New Roman"/>
                <w:sz w:val="20"/>
              </w:rPr>
            </w:pPr>
            <w:r w:rsidRPr="00EB76E8">
              <w:rPr>
                <w:rFonts w:ascii="Times New Roman" w:hAnsi="Times New Roman" w:cs="Times New Roman"/>
                <w:sz w:val="20"/>
              </w:rPr>
              <w:t xml:space="preserve">Zarząd Główny Stowarzyszenia Notariuszy Rzeczypospolitej Polskiej ocenia negatywnie zaproponowane zmiany i postanawia przekazać uwagi do projektu ustawy </w:t>
            </w:r>
            <w:r>
              <w:rPr>
                <w:rFonts w:ascii="Times New Roman" w:hAnsi="Times New Roman" w:cs="Times New Roman"/>
                <w:sz w:val="20"/>
              </w:rPr>
              <w:t>[…].</w:t>
            </w:r>
          </w:p>
          <w:p w14:paraId="4ADDCD67" w14:textId="3EA914D6" w:rsidR="00721C84" w:rsidRDefault="00341509" w:rsidP="00406800">
            <w:pPr>
              <w:spacing w:before="120" w:after="120"/>
              <w:jc w:val="both"/>
              <w:rPr>
                <w:rFonts w:ascii="Times New Roman" w:hAnsi="Times New Roman" w:cs="Times New Roman"/>
                <w:sz w:val="20"/>
              </w:rPr>
            </w:pPr>
            <w:r w:rsidRPr="00341509">
              <w:rPr>
                <w:rFonts w:ascii="Times New Roman" w:hAnsi="Times New Roman" w:cs="Times New Roman"/>
                <w:sz w:val="20"/>
              </w:rPr>
              <w:t>Projekt wprowadza instytucję Portalu Danych o Obrocie Mieszkaniami (dalej „Portal DOM”), który ma prowadzić Ubezpieczeniowy Fundusz Gwarancyjny (dalej „UFG”).</w:t>
            </w:r>
          </w:p>
          <w:p w14:paraId="7BCCDDDE" w14:textId="47020C20" w:rsidR="009B19B8" w:rsidRDefault="00341509" w:rsidP="00406800">
            <w:pPr>
              <w:spacing w:before="120" w:after="120"/>
              <w:jc w:val="both"/>
              <w:rPr>
                <w:rFonts w:ascii="Times New Roman" w:hAnsi="Times New Roman" w:cs="Times New Roman"/>
                <w:sz w:val="20"/>
              </w:rPr>
            </w:pPr>
            <w:r w:rsidRPr="00341509">
              <w:rPr>
                <w:rFonts w:ascii="Times New Roman" w:hAnsi="Times New Roman" w:cs="Times New Roman"/>
                <w:sz w:val="20"/>
              </w:rPr>
              <w:t>ZG SNRP pragnie zwrócić uwagę na to, że w toku procesu legislacyjnego pominięto fakt, iż w Polsce istnieje już publiczny, prowadzony w systemie teleinformatycznym, rejestr cen nieruchomości - Rejestr Cen i Wartości Nieruchomości (dalej „</w:t>
            </w:r>
            <w:proofErr w:type="spellStart"/>
            <w:r w:rsidRPr="00341509">
              <w:rPr>
                <w:rFonts w:ascii="Times New Roman" w:hAnsi="Times New Roman" w:cs="Times New Roman"/>
                <w:sz w:val="20"/>
              </w:rPr>
              <w:t>RCiWN</w:t>
            </w:r>
            <w:proofErr w:type="spellEnd"/>
            <w:r w:rsidRPr="00341509">
              <w:rPr>
                <w:rFonts w:ascii="Times New Roman" w:hAnsi="Times New Roman" w:cs="Times New Roman"/>
                <w:sz w:val="20"/>
              </w:rPr>
              <w:t>”), utworzony na podstawie przepisów ustawy Prawo geodezyjne i kartograficzne i działający na zasadach określonych w § 40 rozporządzenia z dnia 27 lipca 2021 r. w sprawie ewidencji gruntów i budynków (</w:t>
            </w:r>
            <w:proofErr w:type="spellStart"/>
            <w:r w:rsidRPr="00341509">
              <w:rPr>
                <w:rFonts w:ascii="Times New Roman" w:hAnsi="Times New Roman" w:cs="Times New Roman"/>
                <w:sz w:val="20"/>
              </w:rPr>
              <w:t>t.j</w:t>
            </w:r>
            <w:proofErr w:type="spellEnd"/>
            <w:r w:rsidRPr="00341509">
              <w:rPr>
                <w:rFonts w:ascii="Times New Roman" w:hAnsi="Times New Roman" w:cs="Times New Roman"/>
                <w:sz w:val="20"/>
              </w:rPr>
              <w:t xml:space="preserve">. Dz.U. 2024 r. poz. 219). Rejestr ten działa pod nadzorem starostów w powiatowych ośrodkach dokumentacji geodezyjnej i kartograficznej i służy gromadzeniu, przechowywaniu i udostępnianiu danych o transakcjach na rynku nieruchomości, przy zapewnieniu warunków pełnej wiarygodności, przejrzystości i dostępności. Rejestr ten zawiera wszystkie szczegółowe informacje, dotyczące rodzaju nieruchomości, lokalizacji, rodzaju transakcji i cen transakcyjnych, łącznie z podatkiem VAT. Przedmiotowe dane uzyskiwane są z aktów notarialnych. Od 01 stycznia 2024 roku dane te są udostępniane osobom fizycznym, przedsiębiorcom i innym podmiotom, także w formie usług sieciowych, podlegających jedynie stosownym ograniczeniom wynikającym z ustawy o ochronie danych osobowych. </w:t>
            </w:r>
            <w:r w:rsidR="00E65DB5">
              <w:rPr>
                <w:rFonts w:ascii="Times New Roman" w:hAnsi="Times New Roman" w:cs="Times New Roman"/>
                <w:sz w:val="20"/>
              </w:rPr>
              <w:t>[</w:t>
            </w:r>
            <w:r w:rsidR="009B19B8" w:rsidRPr="009B19B8">
              <w:rPr>
                <w:rFonts w:ascii="Times New Roman" w:hAnsi="Times New Roman" w:cs="Times New Roman"/>
                <w:sz w:val="20"/>
              </w:rPr>
              <w:t>Tymczasem w proponowanych zmianach Projektodawca nie odnosi się w żaden sposób do istniejącego rejestru, nie uzasadnia konieczności powstania nowego (tożsamego) rejestru, obok już istniejącego rejestru, nie decyduje o zastąpieniu jednego rejestru drugim. Istnienie dwóch tożsamych rejestrów jest wątpliwe pod względem racjonalności i ekonomii</w:t>
            </w:r>
            <w:r w:rsidR="00E65DB5">
              <w:rPr>
                <w:rFonts w:ascii="Times New Roman" w:hAnsi="Times New Roman" w:cs="Times New Roman"/>
                <w:sz w:val="20"/>
              </w:rPr>
              <w:t xml:space="preserve"> – </w:t>
            </w:r>
            <w:r w:rsidR="00E65DB5" w:rsidRPr="00E65DB5">
              <w:rPr>
                <w:rFonts w:ascii="Times New Roman" w:hAnsi="Times New Roman" w:cs="Times New Roman"/>
                <w:i/>
                <w:iCs/>
                <w:sz w:val="20"/>
              </w:rPr>
              <w:t xml:space="preserve">dodatkowy fragment </w:t>
            </w:r>
            <w:r w:rsidR="00E65DB5">
              <w:rPr>
                <w:rFonts w:ascii="Times New Roman" w:hAnsi="Times New Roman" w:cs="Times New Roman"/>
                <w:i/>
                <w:iCs/>
                <w:sz w:val="20"/>
              </w:rPr>
              <w:t xml:space="preserve">zaczerpnięty </w:t>
            </w:r>
            <w:r w:rsidR="00E65DB5" w:rsidRPr="00E65DB5">
              <w:rPr>
                <w:rFonts w:ascii="Times New Roman" w:hAnsi="Times New Roman" w:cs="Times New Roman"/>
                <w:i/>
                <w:iCs/>
                <w:sz w:val="20"/>
              </w:rPr>
              <w:t xml:space="preserve">z uchwały – przyp. </w:t>
            </w:r>
            <w:proofErr w:type="spellStart"/>
            <w:r w:rsidR="00E65DB5" w:rsidRPr="00E65DB5">
              <w:rPr>
                <w:rFonts w:ascii="Times New Roman" w:hAnsi="Times New Roman" w:cs="Times New Roman"/>
                <w:i/>
                <w:iCs/>
                <w:sz w:val="20"/>
              </w:rPr>
              <w:t>MRiT</w:t>
            </w:r>
            <w:proofErr w:type="spellEnd"/>
            <w:r w:rsidR="00E65DB5">
              <w:rPr>
                <w:rFonts w:ascii="Times New Roman" w:hAnsi="Times New Roman" w:cs="Times New Roman"/>
                <w:sz w:val="20"/>
              </w:rPr>
              <w:t>].</w:t>
            </w:r>
          </w:p>
          <w:p w14:paraId="37F6E46C" w14:textId="34A347DD" w:rsidR="006267EA" w:rsidRDefault="00341509" w:rsidP="00406800">
            <w:pPr>
              <w:spacing w:before="120" w:after="120"/>
              <w:jc w:val="both"/>
              <w:rPr>
                <w:rFonts w:ascii="Times New Roman" w:hAnsi="Times New Roman" w:cs="Times New Roman"/>
                <w:sz w:val="20"/>
              </w:rPr>
            </w:pPr>
            <w:r w:rsidRPr="00341509">
              <w:rPr>
                <w:rFonts w:ascii="Times New Roman" w:hAnsi="Times New Roman" w:cs="Times New Roman"/>
                <w:sz w:val="20"/>
              </w:rPr>
              <w:t xml:space="preserve">Jakie jest zatem ratio legis wprowadzania nowego, zbliżonego (lub w dużej mierze tożsamego) rejestru, skoro już istnieje analogiczny? </w:t>
            </w:r>
            <w:proofErr w:type="spellStart"/>
            <w:r w:rsidRPr="00341509">
              <w:rPr>
                <w:rFonts w:ascii="Times New Roman" w:hAnsi="Times New Roman" w:cs="Times New Roman"/>
                <w:sz w:val="20"/>
              </w:rPr>
              <w:t>RCiWIN</w:t>
            </w:r>
            <w:proofErr w:type="spellEnd"/>
            <w:r w:rsidRPr="00341509">
              <w:rPr>
                <w:rFonts w:ascii="Times New Roman" w:hAnsi="Times New Roman" w:cs="Times New Roman"/>
                <w:sz w:val="20"/>
              </w:rPr>
              <w:t xml:space="preserve"> może być zmodyfikowany w sposób uwzględniający dodatkowe zadania, w tym charakterystyczne dla portalu DOM, drogą pozaustawową poprzez stosowne zmiany rozporządzenia, o </w:t>
            </w:r>
            <w:r w:rsidRPr="00341509">
              <w:rPr>
                <w:rFonts w:ascii="Times New Roman" w:hAnsi="Times New Roman" w:cs="Times New Roman"/>
                <w:sz w:val="20"/>
              </w:rPr>
              <w:lastRenderedPageBreak/>
              <w:t>którym mowa powyżej, co pozostaje obecnie w gestii ministra Rozwoju i Technologii. Opisywany rejestr</w:t>
            </w:r>
            <w:r>
              <w:rPr>
                <w:rFonts w:ascii="Times New Roman" w:hAnsi="Times New Roman" w:cs="Times New Roman"/>
                <w:sz w:val="20"/>
              </w:rPr>
              <w:t xml:space="preserve"> </w:t>
            </w:r>
            <w:r w:rsidRPr="00341509">
              <w:rPr>
                <w:rFonts w:ascii="Times New Roman" w:hAnsi="Times New Roman" w:cs="Times New Roman"/>
                <w:sz w:val="20"/>
              </w:rPr>
              <w:t xml:space="preserve">jest zbudowany i działa analogicznie do rejestrów w krajach UE, przywoływanych w Uzasadnieniu. Niewątpliwie stanowi też narzędzie dające także organom administracyjnym dostęp do pełnych i aktualnych danych statystycznych przydatnych w prowadzeniu polityki mieszkaniowej, tak na szczeblu centralnym, jak i lokalnym. Spełnia więc zasadnicze cele, dla których miałby być stworzony Portal DOM. Tworzenie kolejnego rejestru dublującego </w:t>
            </w:r>
            <w:proofErr w:type="spellStart"/>
            <w:r w:rsidRPr="00341509">
              <w:rPr>
                <w:rFonts w:ascii="Times New Roman" w:hAnsi="Times New Roman" w:cs="Times New Roman"/>
                <w:sz w:val="20"/>
              </w:rPr>
              <w:t>RCiWN</w:t>
            </w:r>
            <w:proofErr w:type="spellEnd"/>
            <w:r w:rsidRPr="00341509">
              <w:rPr>
                <w:rFonts w:ascii="Times New Roman" w:hAnsi="Times New Roman" w:cs="Times New Roman"/>
                <w:sz w:val="20"/>
              </w:rPr>
              <w:t xml:space="preserve"> może powodować niepotrzebne i nadmierne skutki finansowe, nawet jeśli mają one charakter wydatków pozabudżetowych.</w:t>
            </w:r>
            <w:r>
              <w:rPr>
                <w:rFonts w:ascii="Times New Roman" w:hAnsi="Times New Roman" w:cs="Times New Roman"/>
                <w:sz w:val="20"/>
              </w:rPr>
              <w:t xml:space="preserve"> </w:t>
            </w:r>
          </w:p>
          <w:p w14:paraId="0480656C" w14:textId="77777777" w:rsidR="00341509" w:rsidRDefault="00341509" w:rsidP="00406800">
            <w:pPr>
              <w:spacing w:before="120" w:after="120"/>
              <w:jc w:val="both"/>
              <w:rPr>
                <w:rFonts w:ascii="Times New Roman" w:hAnsi="Times New Roman" w:cs="Times New Roman"/>
                <w:sz w:val="20"/>
              </w:rPr>
            </w:pPr>
            <w:r w:rsidRPr="00341509">
              <w:rPr>
                <w:rFonts w:ascii="Times New Roman" w:hAnsi="Times New Roman" w:cs="Times New Roman"/>
                <w:sz w:val="20"/>
              </w:rPr>
              <w:t>Ponadto ZG SNRP uważa, że skoro Projektodawca chce wyłożyć środki finansowe na zbudowanie/zdublowanie drugiego Rejestru - Portal Danych o Obrocie Mieszkaniami powinien wskazać koszty stworzenia i prowadzenia tego drugiego rejestru, a także uzasadnić, dlaczego rejestr ten ma prowadzić Ubezpieczeniowy Fundusz Gwarancyjny (UFG) a nie odpowiednie służby geodezyjne (Główny Geodeta Kraju wykonujący swoje zadania przy pomocy Głównego Urzędu Geodezji i Kartografii) posiadające już obecnie najwięcej informacji o wszystkich nieruchomościach na terenie kraju. Niezrozumiałym jest również umieszczenie przepisów wprowadzających planowany rejestr w ustawie deweloperskiej, a nie w ustawie o UFG lub nowym, autonomicznym akcie prawnym, skoro informacje w nim zawarte mają dotyczyć także rynku wtórnego obrotu nieruchomościami. Jest to niezrozumiałe rozproszenie przepisów kompetencyjnych UFG.</w:t>
            </w:r>
          </w:p>
          <w:p w14:paraId="09669524" w14:textId="5A219570" w:rsidR="00973F4B" w:rsidRPr="00406800" w:rsidRDefault="00973F4B" w:rsidP="00406800">
            <w:pPr>
              <w:spacing w:before="120" w:after="120"/>
              <w:jc w:val="both"/>
              <w:rPr>
                <w:rFonts w:ascii="Times New Roman" w:hAnsi="Times New Roman" w:cs="Times New Roman"/>
                <w:sz w:val="20"/>
              </w:rPr>
            </w:pPr>
            <w:r>
              <w:rPr>
                <w:rFonts w:ascii="Times New Roman" w:hAnsi="Times New Roman" w:cs="Times New Roman"/>
                <w:sz w:val="20"/>
              </w:rPr>
              <w:t>[</w:t>
            </w:r>
            <w:r w:rsidRPr="00973F4B">
              <w:rPr>
                <w:rFonts w:ascii="Times New Roman" w:hAnsi="Times New Roman" w:cs="Times New Roman"/>
                <w:sz w:val="20"/>
              </w:rPr>
              <w:t>Reasumując uznać należy, że projektowane zmiany świadczą o nieznajomości funkcjonujących obecnie rejestrów i prowadzą do zdublowania istniejących już baz danych. Zdaniem SNRP, wymagają ponownego przemyślenia i pogłębionej analizy nad ich celowością</w:t>
            </w:r>
            <w:r>
              <w:t xml:space="preserve"> </w:t>
            </w:r>
            <w:r w:rsidRPr="00973F4B">
              <w:rPr>
                <w:rFonts w:ascii="Times New Roman" w:hAnsi="Times New Roman" w:cs="Times New Roman"/>
                <w:sz w:val="20"/>
              </w:rPr>
              <w:t xml:space="preserve">– </w:t>
            </w:r>
            <w:r w:rsidRPr="00973F4B">
              <w:rPr>
                <w:rFonts w:ascii="Times New Roman" w:hAnsi="Times New Roman" w:cs="Times New Roman"/>
                <w:i/>
                <w:iCs/>
                <w:sz w:val="20"/>
              </w:rPr>
              <w:t xml:space="preserve">dodatkowy fragment zaczerpnięty z uchwały – przyp. </w:t>
            </w:r>
            <w:proofErr w:type="spellStart"/>
            <w:r w:rsidRPr="00973F4B">
              <w:rPr>
                <w:rFonts w:ascii="Times New Roman" w:hAnsi="Times New Roman" w:cs="Times New Roman"/>
                <w:i/>
                <w:iCs/>
                <w:sz w:val="20"/>
              </w:rPr>
              <w:t>MRiT</w:t>
            </w:r>
            <w:proofErr w:type="spellEnd"/>
            <w:r w:rsidRPr="00973F4B">
              <w:rPr>
                <w:rFonts w:ascii="Times New Roman" w:hAnsi="Times New Roman" w:cs="Times New Roman"/>
                <w:sz w:val="20"/>
              </w:rPr>
              <w:t>]</w:t>
            </w:r>
          </w:p>
        </w:tc>
        <w:tc>
          <w:tcPr>
            <w:tcW w:w="4160" w:type="dxa"/>
          </w:tcPr>
          <w:p w14:paraId="57B6ADF4" w14:textId="77777777" w:rsidR="005022D6" w:rsidRPr="00AE21CB" w:rsidRDefault="005022D6" w:rsidP="005022D6">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163C55D7" w14:textId="46CFA9FB" w:rsidR="005022D6" w:rsidRDefault="005022D6" w:rsidP="005022D6">
            <w:pPr>
              <w:spacing w:before="120" w:after="120"/>
              <w:jc w:val="both"/>
              <w:rPr>
                <w:rFonts w:ascii="Times New Roman" w:hAnsi="Times New Roman" w:cs="Times New Roman"/>
                <w:sz w:val="20"/>
              </w:rPr>
            </w:pPr>
            <w:r>
              <w:rPr>
                <w:rFonts w:ascii="Times New Roman" w:hAnsi="Times New Roman" w:cs="Times New Roman"/>
                <w:sz w:val="20"/>
              </w:rPr>
              <w:t>Propozycja stworzenia Portalu DOM jest odpowiedzią m.in. na braki zdiagnozowane w kontekście funkcjonowania dostępnych baz informacji o nieruchomościach mieszkaniowych</w:t>
            </w:r>
            <w:r w:rsidR="008B087F">
              <w:rPr>
                <w:rFonts w:ascii="Times New Roman" w:hAnsi="Times New Roman" w:cs="Times New Roman"/>
                <w:sz w:val="20"/>
              </w:rPr>
              <w:t xml:space="preserve">, w tym </w:t>
            </w:r>
            <w:r w:rsidR="006F4E97">
              <w:rPr>
                <w:rFonts w:ascii="Times New Roman" w:hAnsi="Times New Roman" w:cs="Times New Roman"/>
                <w:sz w:val="20"/>
              </w:rPr>
              <w:t xml:space="preserve">w kontekście </w:t>
            </w:r>
            <w:r w:rsidR="008B087F">
              <w:rPr>
                <w:rFonts w:ascii="Times New Roman" w:hAnsi="Times New Roman" w:cs="Times New Roman"/>
                <w:sz w:val="20"/>
              </w:rPr>
              <w:t>analizowanego na etapie prac koncepcyjnych Rejestru Cen Nieruchomości</w:t>
            </w:r>
            <w:r w:rsidR="006F4E97">
              <w:rPr>
                <w:rFonts w:ascii="Times New Roman" w:hAnsi="Times New Roman" w:cs="Times New Roman"/>
                <w:sz w:val="20"/>
              </w:rPr>
              <w:t xml:space="preserve"> prowadzonego przez starostę</w:t>
            </w:r>
            <w:r w:rsidR="008B087F">
              <w:rPr>
                <w:rFonts w:ascii="Times New Roman" w:hAnsi="Times New Roman" w:cs="Times New Roman"/>
                <w:sz w:val="20"/>
              </w:rPr>
              <w:t>.</w:t>
            </w:r>
            <w:r>
              <w:rPr>
                <w:rFonts w:ascii="Times New Roman" w:hAnsi="Times New Roman" w:cs="Times New Roman"/>
                <w:sz w:val="20"/>
              </w:rPr>
              <w:t xml:space="preserve"> </w:t>
            </w:r>
          </w:p>
          <w:p w14:paraId="79F78F69" w14:textId="29FDBA86" w:rsidR="008B087F" w:rsidRDefault="005022D6" w:rsidP="0030247D">
            <w:pPr>
              <w:spacing w:before="120" w:after="120"/>
              <w:jc w:val="both"/>
              <w:rPr>
                <w:rFonts w:ascii="Times New Roman" w:hAnsi="Times New Roman" w:cs="Times New Roman"/>
                <w:sz w:val="20"/>
              </w:rPr>
            </w:pPr>
            <w:r w:rsidRPr="00AE21CB">
              <w:rPr>
                <w:rFonts w:ascii="Times New Roman" w:hAnsi="Times New Roman" w:cs="Times New Roman"/>
                <w:sz w:val="20"/>
              </w:rPr>
              <w:t xml:space="preserve">Jedną z przyczyn zainicjowania prac nad Portalem </w:t>
            </w:r>
            <w:r>
              <w:rPr>
                <w:rFonts w:ascii="Times New Roman" w:hAnsi="Times New Roman" w:cs="Times New Roman"/>
                <w:sz w:val="20"/>
              </w:rPr>
              <w:t xml:space="preserve">DOM </w:t>
            </w:r>
            <w:r w:rsidRPr="00AE21CB">
              <w:rPr>
                <w:rFonts w:ascii="Times New Roman" w:hAnsi="Times New Roman" w:cs="Times New Roman"/>
                <w:sz w:val="20"/>
              </w:rPr>
              <w:t xml:space="preserve">jest </w:t>
            </w:r>
            <w:r w:rsidR="006F4E97">
              <w:rPr>
                <w:rFonts w:ascii="Times New Roman" w:hAnsi="Times New Roman" w:cs="Times New Roman"/>
                <w:sz w:val="20"/>
              </w:rPr>
              <w:t xml:space="preserve">potrzeba </w:t>
            </w:r>
            <w:r w:rsidRPr="00AE21CB">
              <w:rPr>
                <w:rFonts w:ascii="Times New Roman" w:hAnsi="Times New Roman" w:cs="Times New Roman"/>
                <w:sz w:val="20"/>
              </w:rPr>
              <w:t>stworzeni</w:t>
            </w:r>
            <w:r w:rsidR="006F4E97">
              <w:rPr>
                <w:rFonts w:ascii="Times New Roman" w:hAnsi="Times New Roman" w:cs="Times New Roman"/>
                <w:sz w:val="20"/>
              </w:rPr>
              <w:t>a</w:t>
            </w:r>
            <w:r w:rsidRPr="00AE21CB">
              <w:rPr>
                <w:rFonts w:ascii="Times New Roman" w:hAnsi="Times New Roman" w:cs="Times New Roman"/>
                <w:sz w:val="20"/>
              </w:rPr>
              <w:t xml:space="preserve"> aktualnego i</w:t>
            </w:r>
            <w:r>
              <w:rPr>
                <w:rFonts w:ascii="Times New Roman" w:hAnsi="Times New Roman" w:cs="Times New Roman"/>
                <w:sz w:val="20"/>
              </w:rPr>
              <w:t> </w:t>
            </w:r>
            <w:r w:rsidRPr="00AE21CB">
              <w:rPr>
                <w:rFonts w:ascii="Times New Roman" w:hAnsi="Times New Roman" w:cs="Times New Roman"/>
                <w:sz w:val="20"/>
              </w:rPr>
              <w:t xml:space="preserve">wiarygodnego źródła </w:t>
            </w:r>
            <w:r>
              <w:rPr>
                <w:rFonts w:ascii="Times New Roman" w:hAnsi="Times New Roman" w:cs="Times New Roman"/>
                <w:sz w:val="20"/>
              </w:rPr>
              <w:t>informacji</w:t>
            </w:r>
            <w:r w:rsidRPr="00AE21CB">
              <w:rPr>
                <w:rFonts w:ascii="Times New Roman" w:hAnsi="Times New Roman" w:cs="Times New Roman"/>
                <w:sz w:val="20"/>
              </w:rPr>
              <w:t xml:space="preserve"> o</w:t>
            </w:r>
            <w:r w:rsidR="00D03073">
              <w:rPr>
                <w:rFonts w:ascii="Times New Roman" w:hAnsi="Times New Roman" w:cs="Times New Roman"/>
                <w:sz w:val="20"/>
              </w:rPr>
              <w:t> </w:t>
            </w:r>
            <w:r w:rsidRPr="00AE21CB">
              <w:rPr>
                <w:rFonts w:ascii="Times New Roman" w:hAnsi="Times New Roman" w:cs="Times New Roman"/>
                <w:sz w:val="20"/>
              </w:rPr>
              <w:t>średnich cenach transakcyjnych nieruchomości mieszkaniowych.</w:t>
            </w:r>
            <w:r>
              <w:rPr>
                <w:rFonts w:ascii="Times New Roman" w:hAnsi="Times New Roman" w:cs="Times New Roman"/>
                <w:sz w:val="20"/>
              </w:rPr>
              <w:t xml:space="preserve"> Portal DOM i RCN</w:t>
            </w:r>
            <w:r w:rsidRPr="00AE21CB">
              <w:rPr>
                <w:rFonts w:ascii="Times New Roman" w:hAnsi="Times New Roman" w:cs="Times New Roman"/>
                <w:sz w:val="20"/>
              </w:rPr>
              <w:t xml:space="preserve"> </w:t>
            </w:r>
            <w:r w:rsidR="006F4E97">
              <w:rPr>
                <w:rFonts w:ascii="Times New Roman" w:hAnsi="Times New Roman" w:cs="Times New Roman"/>
                <w:sz w:val="20"/>
              </w:rPr>
              <w:t xml:space="preserve">nie są zatem tożsamymi narzędziami – </w:t>
            </w:r>
            <w:r w:rsidR="00BB3645" w:rsidRPr="00AE21CB">
              <w:rPr>
                <w:rFonts w:ascii="Times New Roman" w:hAnsi="Times New Roman" w:cs="Times New Roman"/>
                <w:sz w:val="20"/>
              </w:rPr>
              <w:t>spełniają</w:t>
            </w:r>
            <w:r w:rsidR="00BB3645">
              <w:rPr>
                <w:rFonts w:ascii="Times New Roman" w:hAnsi="Times New Roman" w:cs="Times New Roman"/>
                <w:sz w:val="20"/>
              </w:rPr>
              <w:t xml:space="preserve"> odmienne</w:t>
            </w:r>
            <w:r w:rsidRPr="00AE21CB">
              <w:rPr>
                <w:rFonts w:ascii="Times New Roman" w:hAnsi="Times New Roman" w:cs="Times New Roman"/>
                <w:sz w:val="20"/>
              </w:rPr>
              <w:t xml:space="preserve"> cele. Wartością projektowanego </w:t>
            </w:r>
            <w:r>
              <w:rPr>
                <w:rFonts w:ascii="Times New Roman" w:hAnsi="Times New Roman" w:cs="Times New Roman"/>
                <w:sz w:val="20"/>
              </w:rPr>
              <w:t>p</w:t>
            </w:r>
            <w:r w:rsidRPr="00AE21CB">
              <w:rPr>
                <w:rFonts w:ascii="Times New Roman" w:hAnsi="Times New Roman" w:cs="Times New Roman"/>
                <w:sz w:val="20"/>
              </w:rPr>
              <w:t>ortalu w</w:t>
            </w:r>
            <w:r>
              <w:rPr>
                <w:rFonts w:ascii="Times New Roman" w:hAnsi="Times New Roman" w:cs="Times New Roman"/>
                <w:sz w:val="20"/>
              </w:rPr>
              <w:t> relacji</w:t>
            </w:r>
            <w:r w:rsidRPr="00AE21CB">
              <w:rPr>
                <w:rFonts w:ascii="Times New Roman" w:hAnsi="Times New Roman" w:cs="Times New Roman"/>
                <w:sz w:val="20"/>
              </w:rPr>
              <w:t xml:space="preserve"> do funkcjonujących już baz </w:t>
            </w:r>
            <w:r>
              <w:rPr>
                <w:rFonts w:ascii="Times New Roman" w:hAnsi="Times New Roman" w:cs="Times New Roman"/>
                <w:sz w:val="20"/>
              </w:rPr>
              <w:t xml:space="preserve">informacji o cenach nieruchomości mieszkaniowych </w:t>
            </w:r>
            <w:r w:rsidRPr="00AE21CB">
              <w:rPr>
                <w:rFonts w:ascii="Times New Roman" w:hAnsi="Times New Roman" w:cs="Times New Roman"/>
                <w:sz w:val="20"/>
              </w:rPr>
              <w:t>będzie przede wszystkim szybsze publikowanie informacji o cenach, co</w:t>
            </w:r>
            <w:r>
              <w:rPr>
                <w:rFonts w:ascii="Times New Roman" w:hAnsi="Times New Roman" w:cs="Times New Roman"/>
                <w:sz w:val="20"/>
              </w:rPr>
              <w:t> </w:t>
            </w:r>
            <w:r w:rsidRPr="00AE21CB">
              <w:rPr>
                <w:rFonts w:ascii="Times New Roman" w:hAnsi="Times New Roman" w:cs="Times New Roman"/>
                <w:sz w:val="20"/>
              </w:rPr>
              <w:t>powinno być ważnym punktem odniesienia dla osób poszukujących mieszkania lub domu jednorodzinnego.</w:t>
            </w:r>
            <w:r w:rsidR="00827267">
              <w:rPr>
                <w:rFonts w:ascii="Times New Roman" w:hAnsi="Times New Roman" w:cs="Times New Roman"/>
                <w:sz w:val="20"/>
              </w:rPr>
              <w:t xml:space="preserve"> </w:t>
            </w:r>
            <w:r w:rsidR="00827267" w:rsidRPr="00827267">
              <w:rPr>
                <w:rFonts w:ascii="Times New Roman" w:hAnsi="Times New Roman" w:cs="Times New Roman"/>
                <w:sz w:val="20"/>
              </w:rPr>
              <w:t>RCN może stanowić dobre źródło danych o liczbie, kwocie i rodzajach transakcji dokonywanych na rynku nieruchomości, ale – ze względu na opóźnienia w</w:t>
            </w:r>
            <w:r w:rsidR="00827267">
              <w:rPr>
                <w:rFonts w:ascii="Times New Roman" w:hAnsi="Times New Roman" w:cs="Times New Roman"/>
                <w:sz w:val="20"/>
              </w:rPr>
              <w:t> </w:t>
            </w:r>
            <w:r w:rsidR="00827267" w:rsidRPr="00827267">
              <w:rPr>
                <w:rFonts w:ascii="Times New Roman" w:hAnsi="Times New Roman" w:cs="Times New Roman"/>
                <w:sz w:val="20"/>
              </w:rPr>
              <w:t>jego uzupełnianiu przez starostwa – tylko w</w:t>
            </w:r>
            <w:r w:rsidR="00827267">
              <w:rPr>
                <w:rFonts w:ascii="Times New Roman" w:hAnsi="Times New Roman" w:cs="Times New Roman"/>
                <w:sz w:val="20"/>
              </w:rPr>
              <w:t> </w:t>
            </w:r>
            <w:r w:rsidR="00827267" w:rsidRPr="00827267">
              <w:rPr>
                <w:rFonts w:ascii="Times New Roman" w:hAnsi="Times New Roman" w:cs="Times New Roman"/>
                <w:sz w:val="20"/>
              </w:rPr>
              <w:t>aspekcie historycznym. W związku z tym ma ograniczoną przydatność dla nabywców poszukujących mieszkania w danych realiach rynkowych.</w:t>
            </w:r>
          </w:p>
          <w:p w14:paraId="611EA037" w14:textId="7F872191" w:rsidR="00D03073" w:rsidRDefault="00D03073" w:rsidP="0030247D">
            <w:pPr>
              <w:spacing w:before="120" w:after="120"/>
              <w:jc w:val="both"/>
              <w:rPr>
                <w:rFonts w:ascii="Times New Roman" w:hAnsi="Times New Roman" w:cs="Times New Roman"/>
                <w:sz w:val="20"/>
              </w:rPr>
            </w:pPr>
            <w:r w:rsidRPr="005F00F5">
              <w:rPr>
                <w:rFonts w:ascii="Times New Roman" w:hAnsi="Times New Roman" w:cs="Times New Roman"/>
                <w:sz w:val="20"/>
              </w:rPr>
              <w:t xml:space="preserve">Niezależnie od powyższego Portal </w:t>
            </w:r>
            <w:r w:rsidR="00191016" w:rsidRPr="005F00F5">
              <w:rPr>
                <w:rFonts w:ascii="Times New Roman" w:hAnsi="Times New Roman" w:cs="Times New Roman"/>
                <w:sz w:val="20"/>
              </w:rPr>
              <w:t xml:space="preserve">DOM </w:t>
            </w:r>
            <w:r w:rsidRPr="005F00F5">
              <w:rPr>
                <w:rFonts w:ascii="Times New Roman" w:hAnsi="Times New Roman" w:cs="Times New Roman"/>
                <w:sz w:val="20"/>
              </w:rPr>
              <w:t xml:space="preserve">nie będzie pełnił funkcji rejestru. </w:t>
            </w:r>
            <w:r w:rsidR="00275D12" w:rsidRPr="005F00F5">
              <w:rPr>
                <w:rFonts w:ascii="Times New Roman" w:hAnsi="Times New Roman" w:cs="Times New Roman"/>
                <w:sz w:val="20"/>
              </w:rPr>
              <w:t>Jego założenia n</w:t>
            </w:r>
            <w:r w:rsidRPr="005F00F5">
              <w:rPr>
                <w:rFonts w:ascii="Times New Roman" w:hAnsi="Times New Roman" w:cs="Times New Roman"/>
                <w:sz w:val="20"/>
              </w:rPr>
              <w:t>ie wpisuj</w:t>
            </w:r>
            <w:r w:rsidR="00275D12" w:rsidRPr="005F00F5">
              <w:rPr>
                <w:rFonts w:ascii="Times New Roman" w:hAnsi="Times New Roman" w:cs="Times New Roman"/>
                <w:sz w:val="20"/>
              </w:rPr>
              <w:t>ą</w:t>
            </w:r>
            <w:r w:rsidRPr="005F00F5">
              <w:rPr>
                <w:rFonts w:ascii="Times New Roman" w:hAnsi="Times New Roman" w:cs="Times New Roman"/>
                <w:sz w:val="20"/>
              </w:rPr>
              <w:t xml:space="preserve"> się w szczególności w definicję legalną rejestru publicznego [</w:t>
            </w:r>
            <w:r w:rsidRPr="005F00F5">
              <w:rPr>
                <w:rFonts w:ascii="Times New Roman" w:hAnsi="Times New Roman" w:cs="Times New Roman"/>
                <w:i/>
                <w:iCs/>
                <w:sz w:val="20"/>
              </w:rPr>
              <w:t xml:space="preserve">rejestr publiczny - rejestr, ewidencja, wykaz, lista, spis albo inna forma ewidencji, służące do realizacji zadań publicznych, prowadzone przez podmiot </w:t>
            </w:r>
            <w:r w:rsidRPr="005F00F5">
              <w:rPr>
                <w:rFonts w:ascii="Times New Roman" w:hAnsi="Times New Roman" w:cs="Times New Roman"/>
                <w:i/>
                <w:iCs/>
                <w:sz w:val="20"/>
              </w:rPr>
              <w:lastRenderedPageBreak/>
              <w:t>publiczny na podstawie odrębnych przepisów ustawowych</w:t>
            </w:r>
            <w:r w:rsidRPr="005F00F5">
              <w:rPr>
                <w:rFonts w:ascii="Times New Roman" w:hAnsi="Times New Roman" w:cs="Times New Roman"/>
                <w:sz w:val="20"/>
              </w:rPr>
              <w:t>].</w:t>
            </w:r>
            <w:r>
              <w:rPr>
                <w:rFonts w:ascii="Times New Roman" w:hAnsi="Times New Roman" w:cs="Times New Roman"/>
                <w:sz w:val="20"/>
              </w:rPr>
              <w:t xml:space="preserve"> </w:t>
            </w:r>
          </w:p>
          <w:p w14:paraId="262CB48F" w14:textId="1213AA90" w:rsidR="006267EA" w:rsidRDefault="008B087F" w:rsidP="0030247D">
            <w:pPr>
              <w:spacing w:before="120" w:after="120"/>
              <w:jc w:val="both"/>
              <w:rPr>
                <w:rFonts w:ascii="Times New Roman" w:hAnsi="Times New Roman" w:cs="Times New Roman"/>
                <w:sz w:val="20"/>
              </w:rPr>
            </w:pPr>
            <w:r>
              <w:rPr>
                <w:rFonts w:ascii="Times New Roman" w:hAnsi="Times New Roman" w:cs="Times New Roman"/>
                <w:sz w:val="20"/>
              </w:rPr>
              <w:t xml:space="preserve">Na marginesie należy zauważyć, że wspominany przez Stowarzyszenie </w:t>
            </w:r>
            <w:r w:rsidRPr="008B087F">
              <w:rPr>
                <w:rFonts w:ascii="Times New Roman" w:hAnsi="Times New Roman" w:cs="Times New Roman"/>
                <w:sz w:val="20"/>
              </w:rPr>
              <w:t>Rejestr Cen i</w:t>
            </w:r>
            <w:r>
              <w:rPr>
                <w:rFonts w:ascii="Times New Roman" w:hAnsi="Times New Roman" w:cs="Times New Roman"/>
                <w:sz w:val="20"/>
              </w:rPr>
              <w:t> </w:t>
            </w:r>
            <w:r w:rsidRPr="008B087F">
              <w:rPr>
                <w:rFonts w:ascii="Times New Roman" w:hAnsi="Times New Roman" w:cs="Times New Roman"/>
                <w:sz w:val="20"/>
              </w:rPr>
              <w:t>Wartości Nieruchomości</w:t>
            </w:r>
            <w:r>
              <w:rPr>
                <w:rFonts w:ascii="Times New Roman" w:hAnsi="Times New Roman" w:cs="Times New Roman"/>
                <w:sz w:val="20"/>
              </w:rPr>
              <w:t xml:space="preserve"> w 2021 r. został zastąpiony Rejestrem Cen Nieruchomości.</w:t>
            </w:r>
          </w:p>
          <w:p w14:paraId="71EC204F" w14:textId="568B63A3" w:rsidR="00B522BB" w:rsidRDefault="00B522BB" w:rsidP="0030247D">
            <w:pPr>
              <w:spacing w:before="120" w:after="120"/>
              <w:jc w:val="both"/>
              <w:rPr>
                <w:rFonts w:ascii="Times New Roman" w:hAnsi="Times New Roman" w:cs="Times New Roman"/>
                <w:sz w:val="20"/>
              </w:rPr>
            </w:pPr>
            <w:r w:rsidRPr="004166E0">
              <w:rPr>
                <w:rFonts w:ascii="Times New Roman" w:hAnsi="Times New Roman" w:cs="Times New Roman"/>
                <w:sz w:val="20"/>
              </w:rPr>
              <w:t>Źródła finansowania Portalu DOM</w:t>
            </w:r>
            <w:r w:rsidR="004166E0" w:rsidRPr="004166E0">
              <w:rPr>
                <w:rFonts w:ascii="Times New Roman" w:hAnsi="Times New Roman" w:cs="Times New Roman"/>
                <w:sz w:val="20"/>
              </w:rPr>
              <w:t>,</w:t>
            </w:r>
            <w:r w:rsidRPr="004166E0">
              <w:rPr>
                <w:rFonts w:ascii="Times New Roman" w:hAnsi="Times New Roman" w:cs="Times New Roman"/>
                <w:sz w:val="20"/>
              </w:rPr>
              <w:t xml:space="preserve"> przyczyny powierzenia UFG prowadzenia Portalu </w:t>
            </w:r>
            <w:r w:rsidR="004166E0" w:rsidRPr="004166E0">
              <w:rPr>
                <w:rFonts w:ascii="Times New Roman" w:hAnsi="Times New Roman" w:cs="Times New Roman"/>
                <w:sz w:val="20"/>
              </w:rPr>
              <w:t>oraz wpisanie Portalu w system tzw. ustawy deweloperskiej</w:t>
            </w:r>
            <w:r w:rsidR="001839D2">
              <w:rPr>
                <w:rStyle w:val="Odwoanieprzypisudolnego"/>
                <w:rFonts w:ascii="Times New Roman" w:hAnsi="Times New Roman" w:cs="Times New Roman"/>
                <w:sz w:val="20"/>
              </w:rPr>
              <w:footnoteReference w:id="1"/>
            </w:r>
            <w:r w:rsidR="004166E0" w:rsidRPr="004166E0">
              <w:rPr>
                <w:rFonts w:ascii="Times New Roman" w:hAnsi="Times New Roman" w:cs="Times New Roman"/>
                <w:sz w:val="20"/>
              </w:rPr>
              <w:t xml:space="preserve"> </w:t>
            </w:r>
            <w:r w:rsidRPr="004166E0">
              <w:rPr>
                <w:rFonts w:ascii="Times New Roman" w:hAnsi="Times New Roman" w:cs="Times New Roman"/>
                <w:sz w:val="20"/>
              </w:rPr>
              <w:t>zostały wyjaśnione w</w:t>
            </w:r>
            <w:r w:rsidR="004166E0" w:rsidRPr="004166E0">
              <w:rPr>
                <w:rFonts w:ascii="Times New Roman" w:hAnsi="Times New Roman" w:cs="Times New Roman"/>
                <w:sz w:val="20"/>
              </w:rPr>
              <w:t> </w:t>
            </w:r>
            <w:r w:rsidRPr="004166E0">
              <w:rPr>
                <w:rFonts w:ascii="Times New Roman" w:hAnsi="Times New Roman" w:cs="Times New Roman"/>
                <w:sz w:val="20"/>
              </w:rPr>
              <w:t>uzasadnieniu do projektu ustawy.</w:t>
            </w:r>
            <w:r w:rsidR="004166E0">
              <w:rPr>
                <w:rFonts w:ascii="Times New Roman" w:hAnsi="Times New Roman" w:cs="Times New Roman"/>
                <w:sz w:val="20"/>
              </w:rPr>
              <w:t xml:space="preserve"> </w:t>
            </w:r>
            <w:r w:rsidR="00275D12">
              <w:rPr>
                <w:rFonts w:ascii="Times New Roman" w:hAnsi="Times New Roman" w:cs="Times New Roman"/>
                <w:sz w:val="20"/>
              </w:rPr>
              <w:t>Podsumowując te wyjaśnienia, Portal DOM będzie stanowił przede wszystkim kolejne narzędzie ochrony nabywców mieszkań. UFG już obecnie realizuje zadania w zakresie ochrony nabywców</w:t>
            </w:r>
            <w:r w:rsidR="001839D2">
              <w:rPr>
                <w:rFonts w:ascii="Times New Roman" w:hAnsi="Times New Roman" w:cs="Times New Roman"/>
                <w:sz w:val="20"/>
              </w:rPr>
              <w:t xml:space="preserve"> –</w:t>
            </w:r>
            <w:r w:rsidR="004F5818">
              <w:rPr>
                <w:rFonts w:ascii="Times New Roman" w:hAnsi="Times New Roman" w:cs="Times New Roman"/>
                <w:sz w:val="20"/>
              </w:rPr>
              <w:t xml:space="preserve"> poprzez administrowanie Ewidencją</w:t>
            </w:r>
            <w:r w:rsidR="001839D2">
              <w:rPr>
                <w:rFonts w:ascii="Times New Roman" w:hAnsi="Times New Roman" w:cs="Times New Roman"/>
                <w:sz w:val="20"/>
              </w:rPr>
              <w:t xml:space="preserve"> Deweloperskiego Funduszu Gwarancyjnego,</w:t>
            </w:r>
            <w:r w:rsidR="004F5818">
              <w:rPr>
                <w:rFonts w:ascii="Times New Roman" w:hAnsi="Times New Roman" w:cs="Times New Roman"/>
                <w:sz w:val="20"/>
              </w:rPr>
              <w:t xml:space="preserve"> </w:t>
            </w:r>
            <w:r w:rsidR="001839D2">
              <w:rPr>
                <w:rFonts w:ascii="Times New Roman" w:hAnsi="Times New Roman" w:cs="Times New Roman"/>
                <w:sz w:val="20"/>
              </w:rPr>
              <w:t>gromadzącą</w:t>
            </w:r>
            <w:r w:rsidR="004F5818">
              <w:rPr>
                <w:rFonts w:ascii="Times New Roman" w:hAnsi="Times New Roman" w:cs="Times New Roman"/>
                <w:sz w:val="20"/>
              </w:rPr>
              <w:t xml:space="preserve"> m.in. informacje o wpłatach na rachunki powiernicze prowadzone w związku z</w:t>
            </w:r>
            <w:r w:rsidR="001839D2">
              <w:rPr>
                <w:rFonts w:ascii="Times New Roman" w:hAnsi="Times New Roman" w:cs="Times New Roman"/>
                <w:sz w:val="20"/>
              </w:rPr>
              <w:t> </w:t>
            </w:r>
            <w:r w:rsidR="004F5818">
              <w:rPr>
                <w:rFonts w:ascii="Times New Roman" w:hAnsi="Times New Roman" w:cs="Times New Roman"/>
                <w:sz w:val="20"/>
              </w:rPr>
              <w:t>umowami deweloperskimi.</w:t>
            </w:r>
          </w:p>
          <w:p w14:paraId="4E916AD2" w14:textId="2C3732C9" w:rsidR="006267EA" w:rsidRDefault="006267EA" w:rsidP="0030247D">
            <w:pPr>
              <w:spacing w:before="120" w:after="120"/>
              <w:jc w:val="both"/>
              <w:rPr>
                <w:rFonts w:ascii="Times New Roman" w:hAnsi="Times New Roman" w:cs="Times New Roman"/>
                <w:sz w:val="20"/>
              </w:rPr>
            </w:pPr>
            <w:r>
              <w:rPr>
                <w:rFonts w:ascii="Times New Roman" w:hAnsi="Times New Roman" w:cs="Times New Roman"/>
                <w:sz w:val="20"/>
              </w:rPr>
              <w:t xml:space="preserve">Należy także podkreślić, że </w:t>
            </w:r>
            <w:r w:rsidRPr="006267EA">
              <w:rPr>
                <w:rFonts w:ascii="Times New Roman" w:hAnsi="Times New Roman" w:cs="Times New Roman"/>
                <w:sz w:val="20"/>
              </w:rPr>
              <w:t>Portal DOM nie będzie prowadzony w</w:t>
            </w:r>
            <w:r>
              <w:rPr>
                <w:rFonts w:ascii="Times New Roman" w:hAnsi="Times New Roman" w:cs="Times New Roman"/>
                <w:sz w:val="20"/>
              </w:rPr>
              <w:t> </w:t>
            </w:r>
            <w:r w:rsidRPr="006267EA">
              <w:rPr>
                <w:rFonts w:ascii="Times New Roman" w:hAnsi="Times New Roman" w:cs="Times New Roman"/>
                <w:sz w:val="20"/>
              </w:rPr>
              <w:t>zakresie danych geodezyjnych, a przedmiot jego działania (informacje transakcyjne o rynku mieszkaniowym) nie wpisuje się w zadania Głównego Geodety Kraju.</w:t>
            </w:r>
          </w:p>
          <w:p w14:paraId="04244221" w14:textId="77777777" w:rsidR="00B522BB" w:rsidRDefault="00B522BB" w:rsidP="0030247D">
            <w:pPr>
              <w:spacing w:before="120" w:after="120"/>
              <w:jc w:val="both"/>
              <w:rPr>
                <w:rFonts w:ascii="Times New Roman" w:hAnsi="Times New Roman" w:cs="Times New Roman"/>
                <w:sz w:val="20"/>
              </w:rPr>
            </w:pPr>
            <w:r>
              <w:rPr>
                <w:rFonts w:ascii="Times New Roman" w:hAnsi="Times New Roman" w:cs="Times New Roman"/>
                <w:sz w:val="20"/>
              </w:rPr>
              <w:t xml:space="preserve">Na marginesie należy zauważyć, że projekt ustawy był konsultowany z Głównym Geodetą Kraju na etapie uzgodnień wewnątrzresortowych, w ramach których </w:t>
            </w:r>
            <w:r w:rsidR="004166E0">
              <w:rPr>
                <w:rFonts w:ascii="Times New Roman" w:hAnsi="Times New Roman" w:cs="Times New Roman"/>
                <w:sz w:val="20"/>
              </w:rPr>
              <w:t>organ</w:t>
            </w:r>
            <w:r>
              <w:rPr>
                <w:rFonts w:ascii="Times New Roman" w:hAnsi="Times New Roman" w:cs="Times New Roman"/>
                <w:sz w:val="20"/>
              </w:rPr>
              <w:t xml:space="preserve"> ten nie zgłosił zastrzeżeń do projektu.</w:t>
            </w:r>
          </w:p>
          <w:p w14:paraId="3F743283" w14:textId="013BDFF1" w:rsidR="00816A95" w:rsidRPr="00357C45" w:rsidRDefault="00816A95" w:rsidP="0030247D">
            <w:pPr>
              <w:spacing w:before="120" w:after="120"/>
              <w:jc w:val="both"/>
              <w:rPr>
                <w:rFonts w:ascii="Times New Roman" w:hAnsi="Times New Roman" w:cs="Times New Roman"/>
                <w:sz w:val="20"/>
              </w:rPr>
            </w:pPr>
          </w:p>
        </w:tc>
      </w:tr>
      <w:tr w:rsidR="008D1E05" w:rsidRPr="00FF4480" w14:paraId="60EF027B" w14:textId="77777777" w:rsidTr="00E9565F">
        <w:trPr>
          <w:jc w:val="center"/>
        </w:trPr>
        <w:tc>
          <w:tcPr>
            <w:tcW w:w="554" w:type="dxa"/>
          </w:tcPr>
          <w:p w14:paraId="6E4DE6D7" w14:textId="77777777" w:rsidR="008D1E05" w:rsidRPr="00FF4480" w:rsidRDefault="008D1E05"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3D9DAD35" w14:textId="695FE6EC" w:rsidR="008D1E05" w:rsidRDefault="00406800" w:rsidP="005A57D8">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650AA1B1" w14:textId="034F0135" w:rsidR="008D1E05" w:rsidRDefault="00406800"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49FE67E3" w14:textId="3F5C250A" w:rsidR="00406800" w:rsidRPr="00406800" w:rsidRDefault="00406800" w:rsidP="00406800">
            <w:pPr>
              <w:spacing w:before="120" w:after="120"/>
              <w:jc w:val="both"/>
              <w:rPr>
                <w:rFonts w:ascii="Times New Roman" w:hAnsi="Times New Roman" w:cs="Times New Roman"/>
                <w:sz w:val="20"/>
              </w:rPr>
            </w:pPr>
            <w:r w:rsidRPr="00406800">
              <w:rPr>
                <w:rFonts w:ascii="Times New Roman" w:hAnsi="Times New Roman" w:cs="Times New Roman"/>
                <w:sz w:val="20"/>
              </w:rPr>
              <w:t>Brak perspektywy dotyczącej konieczności gromadzenia danych o</w:t>
            </w:r>
            <w:r>
              <w:rPr>
                <w:rFonts w:ascii="Times New Roman" w:hAnsi="Times New Roman" w:cs="Times New Roman"/>
                <w:sz w:val="20"/>
              </w:rPr>
              <w:t> </w:t>
            </w:r>
            <w:r w:rsidRPr="00406800">
              <w:rPr>
                <w:rFonts w:ascii="Times New Roman" w:hAnsi="Times New Roman" w:cs="Times New Roman"/>
                <w:sz w:val="20"/>
              </w:rPr>
              <w:t>rynkowych czynszach najmu</w:t>
            </w:r>
          </w:p>
          <w:p w14:paraId="34ABFDB3" w14:textId="0601A021" w:rsidR="00406800" w:rsidRPr="00406800" w:rsidRDefault="00406800" w:rsidP="00406800">
            <w:pPr>
              <w:spacing w:before="120" w:after="120"/>
              <w:jc w:val="both"/>
              <w:rPr>
                <w:rFonts w:ascii="Times New Roman" w:hAnsi="Times New Roman" w:cs="Times New Roman"/>
                <w:sz w:val="20"/>
              </w:rPr>
            </w:pPr>
            <w:r w:rsidRPr="00406800">
              <w:rPr>
                <w:rFonts w:ascii="Times New Roman" w:hAnsi="Times New Roman" w:cs="Times New Roman"/>
                <w:sz w:val="20"/>
              </w:rPr>
              <w:t>Zmiany technologiczne powinny być uwzględniane w rejestrach cen nieruchomości oraz w dostępności informacji dla zainteresowanych. Wprowadzanie nowych rozwiązań w zakresie rynku mieszkań musi brać pod uwagę istniejące regulacje oraz zbierane dane, aby poprawić dostępność, szybkość przekazywania informacji i ich wiarygodność. Od lat, w ramach realizacji regulacji unijnych, obowiązuje zbieranie i publikowanie danych o czynszach najmu w</w:t>
            </w:r>
            <w:r>
              <w:rPr>
                <w:rFonts w:ascii="Times New Roman" w:hAnsi="Times New Roman" w:cs="Times New Roman"/>
                <w:sz w:val="20"/>
              </w:rPr>
              <w:t> </w:t>
            </w:r>
            <w:r w:rsidRPr="00406800">
              <w:rPr>
                <w:rFonts w:ascii="Times New Roman" w:hAnsi="Times New Roman" w:cs="Times New Roman"/>
                <w:sz w:val="20"/>
              </w:rPr>
              <w:t>sektorze prywatnym. Niestety, ten obowiązek nie jest w pełni realizowany, brakuje centralnej bazy i struktury, która umożliwiłaby gromadzenie, przetwarzanie i przechowywanie takich informacji.</w:t>
            </w:r>
          </w:p>
          <w:p w14:paraId="63EA0287" w14:textId="400C7BDB" w:rsidR="008D1E05" w:rsidRDefault="00406800" w:rsidP="005A57D8">
            <w:pPr>
              <w:spacing w:before="120" w:after="120"/>
              <w:jc w:val="both"/>
              <w:rPr>
                <w:rFonts w:ascii="Times New Roman" w:hAnsi="Times New Roman" w:cs="Times New Roman"/>
                <w:sz w:val="20"/>
              </w:rPr>
            </w:pPr>
            <w:r w:rsidRPr="00406800">
              <w:rPr>
                <w:rFonts w:ascii="Times New Roman" w:hAnsi="Times New Roman" w:cs="Times New Roman"/>
                <w:sz w:val="20"/>
              </w:rPr>
              <w:t>Obecnie głównym źródłem danych, zarówno w kontekście kupna, jak i sprzedaży nieruchomości, są statystyki dotyczące ogłoszeń. Publikacje NBP w zakresie czynszów opierają się na ankietach przeprowadzanych wśród pośredników oraz danych zbieranych przez Centrum AMRON od zarządców najmu. Brak informacji o</w:t>
            </w:r>
            <w:r>
              <w:rPr>
                <w:rFonts w:ascii="Times New Roman" w:hAnsi="Times New Roman" w:cs="Times New Roman"/>
                <w:sz w:val="20"/>
              </w:rPr>
              <w:t> </w:t>
            </w:r>
            <w:r w:rsidRPr="00406800">
              <w:rPr>
                <w:rFonts w:ascii="Times New Roman" w:hAnsi="Times New Roman" w:cs="Times New Roman"/>
                <w:sz w:val="20"/>
              </w:rPr>
              <w:t>najmie rynkowym jest istotnym problemem dla uczestników rynku, inwestorów oraz samorządów, co utrudnia wprowadzenie efektywnych instrumentów wsparcia dla potrzeb mieszkaniowych. Przykładem jest program „Mieszkanie na Start”, w ramach którego trudno ocenić skuteczność dopłat do czynszu, nie mając pełnego kontekstu rynku najmu.</w:t>
            </w:r>
          </w:p>
        </w:tc>
        <w:tc>
          <w:tcPr>
            <w:tcW w:w="4160" w:type="dxa"/>
          </w:tcPr>
          <w:p w14:paraId="4EF69150" w14:textId="77777777" w:rsidR="008A1B27" w:rsidRPr="00AE21CB" w:rsidRDefault="008A1B27" w:rsidP="008A1B27">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t>Komentarz do uwagi</w:t>
            </w:r>
          </w:p>
          <w:p w14:paraId="1F054575" w14:textId="75FE03DC" w:rsidR="008D1E05" w:rsidRDefault="00E93BBA" w:rsidP="005A57D8">
            <w:pPr>
              <w:spacing w:before="120" w:after="120"/>
              <w:jc w:val="both"/>
              <w:rPr>
                <w:rFonts w:ascii="Times New Roman" w:hAnsi="Times New Roman" w:cs="Times New Roman"/>
                <w:sz w:val="20"/>
              </w:rPr>
            </w:pPr>
            <w:r>
              <w:rPr>
                <w:rFonts w:ascii="Times New Roman" w:hAnsi="Times New Roman" w:cs="Times New Roman"/>
                <w:sz w:val="20"/>
              </w:rPr>
              <w:t>Idea Portalu DOM opiera się na powszechnym dostępie do średnich cen transakcyjnych nieruchomości mieszkaniowych</w:t>
            </w:r>
            <w:r w:rsidR="007D7B13">
              <w:rPr>
                <w:rFonts w:ascii="Times New Roman" w:hAnsi="Times New Roman" w:cs="Times New Roman"/>
                <w:sz w:val="20"/>
              </w:rPr>
              <w:t>, a zatem na tej przestrzeni obrotu tymi nieruchomościami, która odnosi się do transakcji szeroko rozumianego zbywania nieruchomości</w:t>
            </w:r>
            <w:r>
              <w:rPr>
                <w:rFonts w:ascii="Times New Roman" w:hAnsi="Times New Roman" w:cs="Times New Roman"/>
                <w:sz w:val="20"/>
              </w:rPr>
              <w:t xml:space="preserve">. Nie jest jednak wykluczone, że </w:t>
            </w:r>
            <w:r w:rsidR="00974B51">
              <w:rPr>
                <w:rFonts w:ascii="Times New Roman" w:hAnsi="Times New Roman" w:cs="Times New Roman"/>
                <w:sz w:val="20"/>
              </w:rPr>
              <w:t xml:space="preserve">po analizie użyteczności i skuteczności nowego narzędzia </w:t>
            </w:r>
            <w:r>
              <w:rPr>
                <w:rFonts w:ascii="Times New Roman" w:hAnsi="Times New Roman" w:cs="Times New Roman"/>
                <w:sz w:val="20"/>
              </w:rPr>
              <w:t>funkcjonalności Portalu zostaną rozszerzone o kolejne komponenty wartościowe dla uczestników obrotu takimi nieruchomościam</w:t>
            </w:r>
            <w:r w:rsidR="007D7B13">
              <w:rPr>
                <w:rFonts w:ascii="Times New Roman" w:hAnsi="Times New Roman" w:cs="Times New Roman"/>
                <w:sz w:val="20"/>
              </w:rPr>
              <w:t>i.</w:t>
            </w:r>
          </w:p>
          <w:p w14:paraId="15D32995" w14:textId="0AF2E834" w:rsidR="00974B51" w:rsidRPr="005D7262" w:rsidRDefault="00974B51" w:rsidP="00974B51">
            <w:pPr>
              <w:spacing w:before="120" w:after="120"/>
              <w:jc w:val="both"/>
              <w:rPr>
                <w:rFonts w:ascii="Times New Roman" w:hAnsi="Times New Roman" w:cs="Times New Roman"/>
                <w:sz w:val="20"/>
              </w:rPr>
            </w:pPr>
            <w:r>
              <w:rPr>
                <w:rFonts w:ascii="Times New Roman" w:hAnsi="Times New Roman" w:cs="Times New Roman"/>
                <w:sz w:val="20"/>
              </w:rPr>
              <w:t xml:space="preserve">Odnosząc się do propozycji uwzględnienia w funkcjonalnościach danych dotyczących rynku najmu, nie należy zapominać, że </w:t>
            </w:r>
            <w:r w:rsidRPr="00974B51">
              <w:rPr>
                <w:rFonts w:ascii="Times New Roman" w:hAnsi="Times New Roman" w:cs="Times New Roman"/>
                <w:sz w:val="20"/>
              </w:rPr>
              <w:t>Portal DOM będzie korzystał z danych i</w:t>
            </w:r>
            <w:r>
              <w:rPr>
                <w:rFonts w:ascii="Times New Roman" w:hAnsi="Times New Roman" w:cs="Times New Roman"/>
                <w:sz w:val="20"/>
              </w:rPr>
              <w:t> </w:t>
            </w:r>
            <w:r w:rsidRPr="00974B51">
              <w:rPr>
                <w:rFonts w:ascii="Times New Roman" w:hAnsi="Times New Roman" w:cs="Times New Roman"/>
                <w:sz w:val="20"/>
              </w:rPr>
              <w:t>informacji, co do zasady, gromadzonych już przez podmioty publiczne. Dokonane rozszerzenia zakresów danych i informacji zbieranych przez te podmioty są motywowane, w pierwszej kolejności, przez potrzeby stojące dotychczas za zbieraniem tych danych i informacji. Zasilenie Portalu DOM jest w tym kontekście motywacją wtórną</w:t>
            </w:r>
            <w:r>
              <w:rPr>
                <w:rFonts w:ascii="Times New Roman" w:hAnsi="Times New Roman" w:cs="Times New Roman"/>
                <w:sz w:val="20"/>
              </w:rPr>
              <w:t>, niegenerującą dla uczestników obrotu</w:t>
            </w:r>
            <w:r w:rsidR="00A26E76">
              <w:rPr>
                <w:rFonts w:ascii="Times New Roman" w:hAnsi="Times New Roman" w:cs="Times New Roman"/>
                <w:sz w:val="20"/>
              </w:rPr>
              <w:t xml:space="preserve"> dodatkowych</w:t>
            </w:r>
            <w:r>
              <w:rPr>
                <w:rFonts w:ascii="Times New Roman" w:hAnsi="Times New Roman" w:cs="Times New Roman"/>
                <w:sz w:val="20"/>
              </w:rPr>
              <w:t xml:space="preserve"> obowiązków informacyjnych, których uciążliwość mogłaby być kwestionowana konstytucyjnie</w:t>
            </w:r>
            <w:r w:rsidRPr="00974B51">
              <w:rPr>
                <w:rFonts w:ascii="Times New Roman" w:hAnsi="Times New Roman" w:cs="Times New Roman"/>
                <w:sz w:val="20"/>
              </w:rPr>
              <w:t>.</w:t>
            </w:r>
            <w:r>
              <w:rPr>
                <w:rFonts w:ascii="Times New Roman" w:hAnsi="Times New Roman" w:cs="Times New Roman"/>
                <w:sz w:val="20"/>
              </w:rPr>
              <w:t xml:space="preserve"> W ocenie projektodawcy włączenie informacji o rynku najmu wymagałoby w pierwszej kolejności zmian systemowych i organizacyjnych w przedmiocie </w:t>
            </w:r>
            <w:r w:rsidR="006369CF">
              <w:rPr>
                <w:rFonts w:ascii="Times New Roman" w:hAnsi="Times New Roman" w:cs="Times New Roman"/>
                <w:sz w:val="20"/>
              </w:rPr>
              <w:t>gromadzenia takich danych</w:t>
            </w:r>
            <w:r>
              <w:rPr>
                <w:rFonts w:ascii="Times New Roman" w:hAnsi="Times New Roman" w:cs="Times New Roman"/>
                <w:sz w:val="20"/>
              </w:rPr>
              <w:t xml:space="preserve">, uwzględniających </w:t>
            </w:r>
            <w:r w:rsidR="00641446">
              <w:rPr>
                <w:rFonts w:ascii="Times New Roman" w:hAnsi="Times New Roman" w:cs="Times New Roman"/>
                <w:sz w:val="20"/>
              </w:rPr>
              <w:t xml:space="preserve">liczne </w:t>
            </w:r>
            <w:r>
              <w:rPr>
                <w:rFonts w:ascii="Times New Roman" w:hAnsi="Times New Roman" w:cs="Times New Roman"/>
                <w:sz w:val="20"/>
              </w:rPr>
              <w:t>czynniki, które nie wpływają równie wyraźnie na</w:t>
            </w:r>
            <w:r w:rsidR="00641446">
              <w:rPr>
                <w:rFonts w:ascii="Times New Roman" w:hAnsi="Times New Roman" w:cs="Times New Roman"/>
                <w:sz w:val="20"/>
              </w:rPr>
              <w:t xml:space="preserve"> obrót informacjami o umowach zbycia,</w:t>
            </w:r>
            <w:r>
              <w:rPr>
                <w:rFonts w:ascii="Times New Roman" w:hAnsi="Times New Roman" w:cs="Times New Roman"/>
                <w:sz w:val="20"/>
              </w:rPr>
              <w:t xml:space="preserve"> </w:t>
            </w:r>
            <w:r w:rsidR="006369CF">
              <w:rPr>
                <w:rFonts w:ascii="Times New Roman" w:hAnsi="Times New Roman" w:cs="Times New Roman"/>
                <w:sz w:val="20"/>
              </w:rPr>
              <w:t>jak choćby częstotliwość zawierania umów najmu i</w:t>
            </w:r>
            <w:r w:rsidR="00641446">
              <w:rPr>
                <w:rFonts w:ascii="Times New Roman" w:hAnsi="Times New Roman" w:cs="Times New Roman"/>
                <w:sz w:val="20"/>
              </w:rPr>
              <w:t> </w:t>
            </w:r>
            <w:r w:rsidR="006369CF">
              <w:rPr>
                <w:rFonts w:ascii="Times New Roman" w:hAnsi="Times New Roman" w:cs="Times New Roman"/>
                <w:sz w:val="20"/>
              </w:rPr>
              <w:t>okres ich obowiązywania</w:t>
            </w:r>
            <w:r>
              <w:rPr>
                <w:rFonts w:ascii="Times New Roman" w:hAnsi="Times New Roman" w:cs="Times New Roman"/>
                <w:sz w:val="20"/>
              </w:rPr>
              <w:t xml:space="preserve">. </w:t>
            </w:r>
            <w:r w:rsidR="00641446">
              <w:rPr>
                <w:rFonts w:ascii="Times New Roman" w:hAnsi="Times New Roman" w:cs="Times New Roman"/>
                <w:sz w:val="20"/>
              </w:rPr>
              <w:t xml:space="preserve">Wymagałyby również pogłębionej analizy celowości takiej funkcjonalności, w tym wykazania, że jest ona adekwatna do wprowadzanych uciążliwości. </w:t>
            </w:r>
            <w:r>
              <w:rPr>
                <w:rFonts w:ascii="Times New Roman" w:hAnsi="Times New Roman" w:cs="Times New Roman"/>
                <w:sz w:val="20"/>
              </w:rPr>
              <w:lastRenderedPageBreak/>
              <w:t xml:space="preserve">Rozważanie </w:t>
            </w:r>
            <w:r w:rsidR="00641446">
              <w:rPr>
                <w:rFonts w:ascii="Times New Roman" w:hAnsi="Times New Roman" w:cs="Times New Roman"/>
                <w:sz w:val="20"/>
              </w:rPr>
              <w:t>dodania kolejnych komponentów do systemu</w:t>
            </w:r>
            <w:r>
              <w:rPr>
                <w:rFonts w:ascii="Times New Roman" w:hAnsi="Times New Roman" w:cs="Times New Roman"/>
                <w:sz w:val="20"/>
              </w:rPr>
              <w:t xml:space="preserve"> jest na aktualnym etapie włączania nowego narzędzia w przestrzeń rynku, </w:t>
            </w:r>
            <w:r w:rsidRPr="00974B51">
              <w:rPr>
                <w:rFonts w:ascii="Times New Roman" w:hAnsi="Times New Roman" w:cs="Times New Roman"/>
                <w:sz w:val="20"/>
              </w:rPr>
              <w:t xml:space="preserve">w ocenie </w:t>
            </w:r>
            <w:r w:rsidR="00816A95">
              <w:rPr>
                <w:rFonts w:ascii="Times New Roman" w:hAnsi="Times New Roman" w:cs="Times New Roman"/>
                <w:sz w:val="20"/>
              </w:rPr>
              <w:t>p</w:t>
            </w:r>
            <w:r w:rsidRPr="00974B51">
              <w:rPr>
                <w:rFonts w:ascii="Times New Roman" w:hAnsi="Times New Roman" w:cs="Times New Roman"/>
                <w:sz w:val="20"/>
              </w:rPr>
              <w:t>rojektodawcy</w:t>
            </w:r>
            <w:r>
              <w:rPr>
                <w:rFonts w:ascii="Times New Roman" w:hAnsi="Times New Roman" w:cs="Times New Roman"/>
                <w:sz w:val="20"/>
              </w:rPr>
              <w:t>, przedwczesne.</w:t>
            </w:r>
          </w:p>
        </w:tc>
      </w:tr>
      <w:tr w:rsidR="008D1E05" w:rsidRPr="00FF4480" w14:paraId="5015C713" w14:textId="77777777" w:rsidTr="00E9565F">
        <w:trPr>
          <w:jc w:val="center"/>
        </w:trPr>
        <w:tc>
          <w:tcPr>
            <w:tcW w:w="554" w:type="dxa"/>
          </w:tcPr>
          <w:p w14:paraId="4C3F2238" w14:textId="77777777" w:rsidR="008D1E05" w:rsidRPr="00FF4480" w:rsidRDefault="008D1E05"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2D1089A6" w14:textId="5D1132EE" w:rsidR="008D1E05" w:rsidRDefault="00247963" w:rsidP="005A57D8">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6E7D6DD5" w14:textId="77DBCBF8" w:rsidR="008D1E05" w:rsidRDefault="00247963"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38150A52" w14:textId="77777777" w:rsidR="00721C84" w:rsidRDefault="00247963" w:rsidP="00153675">
            <w:pPr>
              <w:spacing w:before="120" w:after="120"/>
              <w:jc w:val="both"/>
              <w:rPr>
                <w:rFonts w:ascii="Times New Roman" w:hAnsi="Times New Roman" w:cs="Times New Roman"/>
                <w:sz w:val="20"/>
              </w:rPr>
            </w:pPr>
            <w:r w:rsidRPr="00247963">
              <w:rPr>
                <w:rFonts w:ascii="Times New Roman" w:hAnsi="Times New Roman" w:cs="Times New Roman"/>
                <w:sz w:val="20"/>
              </w:rPr>
              <w:t xml:space="preserve">Projekt ustawy w części przewidującej wykorzystanie instytucji prawnych ustanowionych dla zwalczania najpoważniejszych przestępstw (terroryzm, pranie pieniędzy oraz uchylanie się od płacenia podatków) do osiągnięcia deklarowanych w Uzasadnieniu Projektu i OSR celów tj. „zwiększenia przejrzystości rynku nieruchomości, a w następstwie wzmocnienia ochrony nabywców mieszkań oraz ułatwienia podmiotom profesjonalnym planowania i parametryzowania inwestycji mieszkaniowych” stanowi oczywiste naruszenie konstytucyjnych zasad: zasady proporcjonalności (art. 31 ust. 1 Konstytucji) oraz zasady ochrony prywatności (art. 51 Konstytucji). Co więcej, uzasadnienie projektu wprost ujawnia, że ustawa ma służyć interesom majątkowym, biznesowym określonych podmiotów. I nie chodzi tylko o ochronę nabywców mieszkań przed „nieprzemyślanymi zakupami”. Ustawa służyć ma także, a może przede wszystkim interesom biznesowym („planowanie i parametryzowanie inwestycji mieszkaniowych na lokalnych rynkach oraz analizowanie potencjalnych </w:t>
            </w:r>
            <w:proofErr w:type="spellStart"/>
            <w:r w:rsidRPr="00247963">
              <w:rPr>
                <w:rFonts w:ascii="Times New Roman" w:hAnsi="Times New Roman" w:cs="Times New Roman"/>
                <w:sz w:val="20"/>
              </w:rPr>
              <w:t>ryzyk</w:t>
            </w:r>
            <w:proofErr w:type="spellEnd"/>
            <w:r w:rsidRPr="00247963">
              <w:rPr>
                <w:rFonts w:ascii="Times New Roman" w:hAnsi="Times New Roman" w:cs="Times New Roman"/>
                <w:sz w:val="20"/>
              </w:rPr>
              <w:t xml:space="preserve"> wiążących się z inwestowaniem na rynku mieszkaniowym”) podmiotów profesjonalnych („np. deweloperom, inwestorom, bankom, ubezpieczycielom itp.”).</w:t>
            </w:r>
          </w:p>
          <w:p w14:paraId="179B205B" w14:textId="5F1239F0" w:rsidR="00153675" w:rsidRPr="00142B55" w:rsidRDefault="00247963" w:rsidP="00153675">
            <w:pPr>
              <w:spacing w:before="120" w:after="120"/>
              <w:jc w:val="both"/>
              <w:rPr>
                <w:rFonts w:ascii="Times New Roman" w:hAnsi="Times New Roman" w:cs="Times New Roman"/>
                <w:sz w:val="20"/>
              </w:rPr>
            </w:pPr>
            <w:r w:rsidRPr="00247963">
              <w:rPr>
                <w:rFonts w:ascii="Times New Roman" w:hAnsi="Times New Roman" w:cs="Times New Roman"/>
                <w:sz w:val="20"/>
              </w:rPr>
              <w:t xml:space="preserve">O ile ograniczenia prawa do ochrony prywatności, wynikające z aktualnego brzmienia ustawy z dnia 1 marca 2018 r. o przeciwdziałaniu praniu pieniędzy oraz finansowaniu terroryzmu oraz ustawy z dnia 29 sierpnia 1997 r. </w:t>
            </w:r>
            <w:r w:rsidR="00BB3645">
              <w:rPr>
                <w:rFonts w:ascii="Times New Roman" w:hAnsi="Times New Roman" w:cs="Times New Roman"/>
                <w:sz w:val="20"/>
              </w:rPr>
              <w:t>–</w:t>
            </w:r>
            <w:r w:rsidRPr="00247963">
              <w:rPr>
                <w:rFonts w:ascii="Times New Roman" w:hAnsi="Times New Roman" w:cs="Times New Roman"/>
                <w:sz w:val="20"/>
              </w:rPr>
              <w:t xml:space="preserve"> Ordynacja podatkowa, dadzą się uzasadnić koniecznością ochrony bezpieczeństwa państwa, czyli jedną z przesłanek dopuszczalności ustawowego ograniczenia konstytucyjnych praw i wolności zawartych w art. 31 ust. 1 Konstytucji, o tyle żaden z celów projektowanej ustawy nie mieści się w katalogu tych przesłanek. Uzyskiwanie przez notariuszy od stron czynności informacji na temat ich czynności prawnych i danych osobowych</w:t>
            </w:r>
            <w:r>
              <w:rPr>
                <w:rFonts w:ascii="Times New Roman" w:hAnsi="Times New Roman" w:cs="Times New Roman"/>
                <w:sz w:val="20"/>
              </w:rPr>
              <w:t xml:space="preserve"> </w:t>
            </w:r>
            <w:r w:rsidRPr="00247963">
              <w:rPr>
                <w:rFonts w:ascii="Times New Roman" w:hAnsi="Times New Roman" w:cs="Times New Roman"/>
                <w:sz w:val="20"/>
              </w:rPr>
              <w:t xml:space="preserve">oraz przekazywanie ich poprzez KAS do Portalu DOM nie jest bowiem „konieczne w demokratycznym państwie dla jego bezpieczeństwa lub porządku publicznego, bądź dla ochrony </w:t>
            </w:r>
            <w:r w:rsidRPr="00247963">
              <w:rPr>
                <w:rFonts w:ascii="Times New Roman" w:hAnsi="Times New Roman" w:cs="Times New Roman"/>
                <w:sz w:val="20"/>
              </w:rPr>
              <w:lastRenderedPageBreak/>
              <w:t>środowiska, zdrowia i moralności publicznej, albo wolności i praw innych osób.”.</w:t>
            </w:r>
          </w:p>
        </w:tc>
        <w:tc>
          <w:tcPr>
            <w:tcW w:w="4160" w:type="dxa"/>
          </w:tcPr>
          <w:p w14:paraId="1DE26978" w14:textId="77777777" w:rsidR="004166E0" w:rsidRPr="00AE21CB" w:rsidRDefault="004166E0" w:rsidP="004166E0">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6CE00636" w14:textId="23C32AB1" w:rsidR="00350E76" w:rsidRDefault="00BB3645" w:rsidP="005A57D8">
            <w:pPr>
              <w:spacing w:before="120" w:after="120"/>
              <w:jc w:val="both"/>
              <w:rPr>
                <w:rFonts w:ascii="Times New Roman" w:hAnsi="Times New Roman" w:cs="Times New Roman"/>
                <w:sz w:val="20"/>
              </w:rPr>
            </w:pPr>
            <w:r w:rsidRPr="00BB3645">
              <w:rPr>
                <w:rFonts w:ascii="Times New Roman" w:hAnsi="Times New Roman" w:cs="Times New Roman"/>
                <w:sz w:val="20"/>
              </w:rPr>
              <w:t>Portal DOM będzie korzystał z danych i</w:t>
            </w:r>
            <w:r>
              <w:rPr>
                <w:rFonts w:ascii="Times New Roman" w:hAnsi="Times New Roman" w:cs="Times New Roman"/>
                <w:sz w:val="20"/>
              </w:rPr>
              <w:t> </w:t>
            </w:r>
            <w:r w:rsidRPr="00BB3645">
              <w:rPr>
                <w:rFonts w:ascii="Times New Roman" w:hAnsi="Times New Roman" w:cs="Times New Roman"/>
                <w:sz w:val="20"/>
              </w:rPr>
              <w:t>informacji, co do zasady, gromadzonych już przez podmioty publiczne. Dokonane rozszerzenia zakresów danych i informacji zbieranych przez te podmioty są motywowane, w</w:t>
            </w:r>
            <w:r>
              <w:rPr>
                <w:rFonts w:ascii="Times New Roman" w:hAnsi="Times New Roman" w:cs="Times New Roman"/>
                <w:sz w:val="20"/>
              </w:rPr>
              <w:t> </w:t>
            </w:r>
            <w:r w:rsidRPr="00BB3645">
              <w:rPr>
                <w:rFonts w:ascii="Times New Roman" w:hAnsi="Times New Roman" w:cs="Times New Roman"/>
                <w:sz w:val="20"/>
              </w:rPr>
              <w:t>pierwszej kolejności, przez potrzeby stojące dotychczas za zbieraniem tych danych i</w:t>
            </w:r>
            <w:r>
              <w:rPr>
                <w:rFonts w:ascii="Times New Roman" w:hAnsi="Times New Roman" w:cs="Times New Roman"/>
                <w:sz w:val="20"/>
              </w:rPr>
              <w:t> </w:t>
            </w:r>
            <w:r w:rsidRPr="00BB3645">
              <w:rPr>
                <w:rFonts w:ascii="Times New Roman" w:hAnsi="Times New Roman" w:cs="Times New Roman"/>
                <w:sz w:val="20"/>
              </w:rPr>
              <w:t xml:space="preserve">informacji. </w:t>
            </w:r>
            <w:r w:rsidR="00350E76">
              <w:rPr>
                <w:rFonts w:ascii="Times New Roman" w:hAnsi="Times New Roman" w:cs="Times New Roman"/>
                <w:sz w:val="20"/>
              </w:rPr>
              <w:t>Dane i informacje pozyskiwane na gruncie przepisów o</w:t>
            </w:r>
            <w:r w:rsidR="00350E76">
              <w:t xml:space="preserve"> </w:t>
            </w:r>
            <w:r w:rsidR="00350E76" w:rsidRPr="00350E76">
              <w:rPr>
                <w:rFonts w:ascii="Times New Roman" w:hAnsi="Times New Roman" w:cs="Times New Roman"/>
                <w:sz w:val="20"/>
              </w:rPr>
              <w:t>przeciwdziałaniu praniu pieniędzy oraz finansowaniu terroryzmu</w:t>
            </w:r>
            <w:r w:rsidR="00350E76">
              <w:rPr>
                <w:rFonts w:ascii="Times New Roman" w:hAnsi="Times New Roman" w:cs="Times New Roman"/>
                <w:sz w:val="20"/>
              </w:rPr>
              <w:t xml:space="preserve"> mają umożliwić </w:t>
            </w:r>
            <w:r w:rsidR="00350E76" w:rsidRPr="00350E76">
              <w:rPr>
                <w:rFonts w:ascii="Times New Roman" w:hAnsi="Times New Roman" w:cs="Times New Roman"/>
                <w:sz w:val="20"/>
              </w:rPr>
              <w:t>ocenę transakcji pod kątem wartości nieruchomości</w:t>
            </w:r>
            <w:r w:rsidR="00350E76">
              <w:rPr>
                <w:rFonts w:ascii="Times New Roman" w:hAnsi="Times New Roman" w:cs="Times New Roman"/>
                <w:sz w:val="20"/>
              </w:rPr>
              <w:t>,</w:t>
            </w:r>
            <w:r w:rsidR="00350E76" w:rsidRPr="00350E76">
              <w:rPr>
                <w:rFonts w:ascii="Times New Roman" w:hAnsi="Times New Roman" w:cs="Times New Roman"/>
                <w:sz w:val="20"/>
              </w:rPr>
              <w:t xml:space="preserve"> co jest głównym celem wprowadzonej regulacji i jednym z zadań Generalnego Inspektora Informacji Finansowej. </w:t>
            </w:r>
            <w:r w:rsidR="00092292">
              <w:rPr>
                <w:rFonts w:ascii="Times New Roman" w:hAnsi="Times New Roman" w:cs="Times New Roman"/>
                <w:sz w:val="20"/>
              </w:rPr>
              <w:t>Zgodnie ze stanowiskiem M</w:t>
            </w:r>
            <w:r w:rsidR="00220039">
              <w:rPr>
                <w:rFonts w:ascii="Times New Roman" w:hAnsi="Times New Roman" w:cs="Times New Roman"/>
                <w:sz w:val="20"/>
              </w:rPr>
              <w:t xml:space="preserve">inistra </w:t>
            </w:r>
            <w:r w:rsidR="00092292">
              <w:rPr>
                <w:rFonts w:ascii="Times New Roman" w:hAnsi="Times New Roman" w:cs="Times New Roman"/>
                <w:sz w:val="20"/>
              </w:rPr>
              <w:t>F</w:t>
            </w:r>
            <w:r w:rsidR="00220039">
              <w:rPr>
                <w:rFonts w:ascii="Times New Roman" w:hAnsi="Times New Roman" w:cs="Times New Roman"/>
                <w:sz w:val="20"/>
              </w:rPr>
              <w:t>inansów</w:t>
            </w:r>
            <w:r w:rsidR="00092292">
              <w:rPr>
                <w:rFonts w:ascii="Times New Roman" w:hAnsi="Times New Roman" w:cs="Times New Roman"/>
                <w:sz w:val="20"/>
              </w:rPr>
              <w:t xml:space="preserve"> </w:t>
            </w:r>
            <w:r w:rsidR="00325F83">
              <w:rPr>
                <w:rFonts w:ascii="Times New Roman" w:hAnsi="Times New Roman" w:cs="Times New Roman"/>
                <w:sz w:val="20"/>
              </w:rPr>
              <w:t xml:space="preserve">z 22 listopada 2024 r. </w:t>
            </w:r>
            <w:r w:rsidR="00092292">
              <w:rPr>
                <w:rFonts w:ascii="Times New Roman" w:hAnsi="Times New Roman" w:cs="Times New Roman"/>
                <w:sz w:val="20"/>
              </w:rPr>
              <w:t>wyrażonym w toku uzgodnień międzyresortowych</w:t>
            </w:r>
            <w:r w:rsidR="00220039">
              <w:rPr>
                <w:rFonts w:ascii="Times New Roman" w:hAnsi="Times New Roman" w:cs="Times New Roman"/>
                <w:sz w:val="20"/>
              </w:rPr>
              <w:t xml:space="preserve"> w odniesieniu do zgłaszanych przez inne podmioty uwag</w:t>
            </w:r>
            <w:r w:rsidR="00092292">
              <w:rPr>
                <w:rFonts w:ascii="Times New Roman" w:hAnsi="Times New Roman" w:cs="Times New Roman"/>
                <w:sz w:val="20"/>
              </w:rPr>
              <w:t xml:space="preserve"> „a</w:t>
            </w:r>
            <w:r w:rsidR="00350E76" w:rsidRPr="00350E76">
              <w:rPr>
                <w:rFonts w:ascii="Times New Roman" w:hAnsi="Times New Roman" w:cs="Times New Roman"/>
                <w:sz w:val="20"/>
              </w:rPr>
              <w:t>utomatyzacja przekazywania takich informacji, które są dostępne w aktach notarialnych sporządzanych przez notariuszy, przyczyni się do szybszej oceny danej transakcji i skróci czas na reakcję w przypadku podejrzenia, że transakcja ma związek z przestępstwem prania brudnych pieniędzy czy chociażby uszczupleniami podatkowymi</w:t>
            </w:r>
            <w:r w:rsidR="00092292">
              <w:rPr>
                <w:rFonts w:ascii="Times New Roman" w:hAnsi="Times New Roman" w:cs="Times New Roman"/>
                <w:sz w:val="20"/>
              </w:rPr>
              <w:t>”.</w:t>
            </w:r>
          </w:p>
          <w:p w14:paraId="7C649B3C" w14:textId="08F1787C" w:rsidR="00BB3645" w:rsidRDefault="00BB3645" w:rsidP="005A57D8">
            <w:pPr>
              <w:spacing w:before="120" w:after="120"/>
              <w:jc w:val="both"/>
              <w:rPr>
                <w:rFonts w:ascii="Times New Roman" w:hAnsi="Times New Roman" w:cs="Times New Roman"/>
                <w:sz w:val="20"/>
              </w:rPr>
            </w:pPr>
            <w:r>
              <w:rPr>
                <w:rFonts w:ascii="Times New Roman" w:hAnsi="Times New Roman" w:cs="Times New Roman"/>
                <w:sz w:val="20"/>
              </w:rPr>
              <w:t xml:space="preserve">Zakres rozszerzenia katalogu danych na gruncie przepisów o przeciwdziałaniu praniu </w:t>
            </w:r>
            <w:r w:rsidRPr="00BB3645">
              <w:rPr>
                <w:rFonts w:ascii="Times New Roman" w:hAnsi="Times New Roman" w:cs="Times New Roman"/>
                <w:sz w:val="20"/>
              </w:rPr>
              <w:t>pieniędzy oraz finansowaniu terroryzmu</w:t>
            </w:r>
            <w:r>
              <w:rPr>
                <w:rFonts w:ascii="Times New Roman" w:hAnsi="Times New Roman" w:cs="Times New Roman"/>
                <w:sz w:val="20"/>
              </w:rPr>
              <w:t xml:space="preserve"> był ustalany wspólnie z pracownikami Szefa Krajowej Administracji Skarbowej na etapie prac koncepcyjnych i wyboru źródeł danych </w:t>
            </w:r>
            <w:r>
              <w:rPr>
                <w:rFonts w:ascii="Times New Roman" w:hAnsi="Times New Roman" w:cs="Times New Roman"/>
                <w:sz w:val="20"/>
              </w:rPr>
              <w:lastRenderedPageBreak/>
              <w:t xml:space="preserve">i informacji dla Portalu. </w:t>
            </w:r>
            <w:r w:rsidR="00A667AD">
              <w:rPr>
                <w:rFonts w:ascii="Times New Roman" w:hAnsi="Times New Roman" w:cs="Times New Roman"/>
                <w:sz w:val="20"/>
              </w:rPr>
              <w:t xml:space="preserve">Kierowano się m.in. motywacją, by nie tworzyć nowych obowiązków informacyjnych, a zatem nie kreować nowych obciążeń dla uczestników systemu. </w:t>
            </w:r>
            <w:r w:rsidRPr="00BB3645">
              <w:rPr>
                <w:rFonts w:ascii="Times New Roman" w:hAnsi="Times New Roman" w:cs="Times New Roman"/>
                <w:sz w:val="20"/>
              </w:rPr>
              <w:t xml:space="preserve">Zasilenie Portalu DOM jest </w:t>
            </w:r>
            <w:r>
              <w:rPr>
                <w:rFonts w:ascii="Times New Roman" w:hAnsi="Times New Roman" w:cs="Times New Roman"/>
                <w:sz w:val="20"/>
              </w:rPr>
              <w:t xml:space="preserve">zatem </w:t>
            </w:r>
            <w:r w:rsidRPr="00BB3645">
              <w:rPr>
                <w:rFonts w:ascii="Times New Roman" w:hAnsi="Times New Roman" w:cs="Times New Roman"/>
                <w:sz w:val="20"/>
              </w:rPr>
              <w:t>w</w:t>
            </w:r>
            <w:r w:rsidR="00442CB7">
              <w:rPr>
                <w:rFonts w:ascii="Times New Roman" w:hAnsi="Times New Roman" w:cs="Times New Roman"/>
                <w:sz w:val="20"/>
              </w:rPr>
              <w:t xml:space="preserve"> </w:t>
            </w:r>
            <w:r w:rsidRPr="00BB3645">
              <w:rPr>
                <w:rFonts w:ascii="Times New Roman" w:hAnsi="Times New Roman" w:cs="Times New Roman"/>
                <w:sz w:val="20"/>
              </w:rPr>
              <w:t xml:space="preserve">tym kontekście motywacją wtórną, </w:t>
            </w:r>
            <w:r>
              <w:rPr>
                <w:rFonts w:ascii="Times New Roman" w:hAnsi="Times New Roman" w:cs="Times New Roman"/>
                <w:sz w:val="20"/>
              </w:rPr>
              <w:t xml:space="preserve">w ocenie projektodawcy </w:t>
            </w:r>
            <w:r w:rsidRPr="00BB3645">
              <w:rPr>
                <w:rFonts w:ascii="Times New Roman" w:hAnsi="Times New Roman" w:cs="Times New Roman"/>
                <w:sz w:val="20"/>
              </w:rPr>
              <w:t>niegenerującą dla uczestników obrotu obowiązków informacyjnych, których uciążliwość mogłaby być kwestionowana konstytucyjnie.</w:t>
            </w:r>
          </w:p>
          <w:p w14:paraId="4F178952" w14:textId="481DECC5" w:rsidR="004166E0" w:rsidRDefault="004166E0" w:rsidP="005A57D8">
            <w:pPr>
              <w:spacing w:before="120" w:after="120"/>
              <w:jc w:val="both"/>
              <w:rPr>
                <w:rFonts w:ascii="Times New Roman" w:hAnsi="Times New Roman" w:cs="Times New Roman"/>
                <w:sz w:val="20"/>
              </w:rPr>
            </w:pPr>
            <w:r>
              <w:rPr>
                <w:rFonts w:ascii="Times New Roman" w:hAnsi="Times New Roman" w:cs="Times New Roman"/>
                <w:sz w:val="20"/>
              </w:rPr>
              <w:t>W uzasadnieniu oraz towarzyszącej mu ocenie skutków dla ochrony danych został</w:t>
            </w:r>
            <w:r w:rsidR="0094420B">
              <w:rPr>
                <w:rFonts w:ascii="Times New Roman" w:hAnsi="Times New Roman" w:cs="Times New Roman"/>
                <w:sz w:val="20"/>
              </w:rPr>
              <w:t xml:space="preserve">y </w:t>
            </w:r>
            <w:r w:rsidR="00BB3645">
              <w:rPr>
                <w:rFonts w:ascii="Times New Roman" w:hAnsi="Times New Roman" w:cs="Times New Roman"/>
                <w:sz w:val="20"/>
              </w:rPr>
              <w:t>również przytoczone</w:t>
            </w:r>
            <w:r w:rsidR="0094420B">
              <w:rPr>
                <w:rFonts w:ascii="Times New Roman" w:hAnsi="Times New Roman" w:cs="Times New Roman"/>
                <w:sz w:val="20"/>
              </w:rPr>
              <w:t xml:space="preserve"> argumenty, które </w:t>
            </w:r>
            <w:r w:rsidR="00BB3645">
              <w:rPr>
                <w:rFonts w:ascii="Times New Roman" w:hAnsi="Times New Roman" w:cs="Times New Roman"/>
                <w:sz w:val="20"/>
              </w:rPr>
              <w:t xml:space="preserve">wskazują na dopełnienie dbałości o zgodność </w:t>
            </w:r>
            <w:r w:rsidR="009A52E0">
              <w:rPr>
                <w:rFonts w:ascii="Times New Roman" w:hAnsi="Times New Roman" w:cs="Times New Roman"/>
                <w:sz w:val="20"/>
              </w:rPr>
              <w:t xml:space="preserve">projektu </w:t>
            </w:r>
            <w:r w:rsidR="00BB3645">
              <w:rPr>
                <w:rFonts w:ascii="Times New Roman" w:hAnsi="Times New Roman" w:cs="Times New Roman"/>
                <w:sz w:val="20"/>
              </w:rPr>
              <w:t>z</w:t>
            </w:r>
            <w:r w:rsidR="009A52E0">
              <w:rPr>
                <w:rFonts w:ascii="Times New Roman" w:hAnsi="Times New Roman" w:cs="Times New Roman"/>
                <w:sz w:val="20"/>
              </w:rPr>
              <w:t> </w:t>
            </w:r>
            <w:r w:rsidR="00BB3645">
              <w:rPr>
                <w:rFonts w:ascii="Times New Roman" w:hAnsi="Times New Roman" w:cs="Times New Roman"/>
                <w:sz w:val="20"/>
              </w:rPr>
              <w:t>zasadą ochrony prywatności. Wyniki testu prywatności zostały podsumowane w załączniku do OSR.</w:t>
            </w:r>
            <w:r w:rsidR="00AB4449">
              <w:t xml:space="preserve"> </w:t>
            </w:r>
            <w:r w:rsidR="00AB4449">
              <w:rPr>
                <w:rFonts w:ascii="Times New Roman" w:hAnsi="Times New Roman" w:cs="Times New Roman"/>
                <w:sz w:val="20"/>
              </w:rPr>
              <w:t>T</w:t>
            </w:r>
            <w:r w:rsidR="00AB4449" w:rsidRPr="00AB4449">
              <w:rPr>
                <w:rFonts w:ascii="Times New Roman" w:hAnsi="Times New Roman" w:cs="Times New Roman"/>
                <w:sz w:val="20"/>
              </w:rPr>
              <w:t xml:space="preserve">est proporcjonalności został </w:t>
            </w:r>
            <w:r w:rsidR="00AB4449">
              <w:rPr>
                <w:rFonts w:ascii="Times New Roman" w:hAnsi="Times New Roman" w:cs="Times New Roman"/>
                <w:sz w:val="20"/>
              </w:rPr>
              <w:t xml:space="preserve">również </w:t>
            </w:r>
            <w:r w:rsidR="00AB4449" w:rsidRPr="00AB4449">
              <w:rPr>
                <w:rFonts w:ascii="Times New Roman" w:hAnsi="Times New Roman" w:cs="Times New Roman"/>
                <w:sz w:val="20"/>
              </w:rPr>
              <w:t>przeprowadzony.</w:t>
            </w:r>
          </w:p>
          <w:p w14:paraId="13376FC6" w14:textId="1D7763F9" w:rsidR="009A52E0" w:rsidRDefault="009A52E0" w:rsidP="005A57D8">
            <w:pPr>
              <w:spacing w:before="120" w:after="120"/>
              <w:jc w:val="both"/>
              <w:rPr>
                <w:rFonts w:ascii="Times New Roman" w:hAnsi="Times New Roman" w:cs="Times New Roman"/>
                <w:sz w:val="20"/>
              </w:rPr>
            </w:pPr>
            <w:r>
              <w:rPr>
                <w:rFonts w:ascii="Times New Roman" w:hAnsi="Times New Roman" w:cs="Times New Roman"/>
                <w:sz w:val="20"/>
              </w:rPr>
              <w:t xml:space="preserve">Zastrzeżenia zgłaszane przez Stowarzyszenie są tym bardziej niezrozumiałe, że proponowane narzędzie zostało zaprojektowane w celu realizacji obowiązku konstytucyjnego. Służy nie tylko wynikającemu z art. 75 Konstytucji RP wspieraniu osób fizycznych w dążeniu do uzyskania mieszkania dzięki ułatwieniu podejmowania decyzji zakupowych, ale również dzięki </w:t>
            </w:r>
            <w:r w:rsidRPr="009A52E0">
              <w:rPr>
                <w:rFonts w:ascii="Times New Roman" w:hAnsi="Times New Roman" w:cs="Times New Roman"/>
                <w:sz w:val="20"/>
              </w:rPr>
              <w:t>dostarcz</w:t>
            </w:r>
            <w:r>
              <w:rPr>
                <w:rFonts w:ascii="Times New Roman" w:hAnsi="Times New Roman" w:cs="Times New Roman"/>
                <w:sz w:val="20"/>
              </w:rPr>
              <w:t>aniu</w:t>
            </w:r>
            <w:r w:rsidRPr="009A52E0">
              <w:rPr>
                <w:rFonts w:ascii="Times New Roman" w:hAnsi="Times New Roman" w:cs="Times New Roman"/>
                <w:sz w:val="20"/>
              </w:rPr>
              <w:t xml:space="preserve"> informacji niezbędnych do prawidłowego prowadzenia polityki mieszkaniowej państwa i parametryzowania instrumentów wsparcia mieszkalnictwa</w:t>
            </w:r>
            <w:r w:rsidR="00532211" w:rsidRPr="00532211">
              <w:rPr>
                <w:rFonts w:ascii="Times New Roman" w:hAnsi="Times New Roman" w:cs="Times New Roman"/>
                <w:sz w:val="20"/>
              </w:rPr>
              <w:t>, które mają służyć właśnie obywatelom</w:t>
            </w:r>
            <w:r w:rsidRPr="009A52E0">
              <w:rPr>
                <w:rFonts w:ascii="Times New Roman" w:hAnsi="Times New Roman" w:cs="Times New Roman"/>
                <w:sz w:val="20"/>
              </w:rPr>
              <w:t>.</w:t>
            </w:r>
          </w:p>
          <w:p w14:paraId="0A437235" w14:textId="181FE539" w:rsidR="002A3908" w:rsidRDefault="002A3908" w:rsidP="005A57D8">
            <w:pPr>
              <w:spacing w:before="120" w:after="120"/>
              <w:jc w:val="both"/>
              <w:rPr>
                <w:rFonts w:ascii="Times New Roman" w:hAnsi="Times New Roman" w:cs="Times New Roman"/>
                <w:sz w:val="20"/>
              </w:rPr>
            </w:pPr>
            <w:r>
              <w:rPr>
                <w:rFonts w:ascii="Times New Roman" w:hAnsi="Times New Roman" w:cs="Times New Roman"/>
                <w:sz w:val="20"/>
              </w:rPr>
              <w:t>Analizując przedstawione zarzuty dotyczące prywatności</w:t>
            </w:r>
            <w:r w:rsidR="00FC157D">
              <w:rPr>
                <w:rFonts w:ascii="Times New Roman" w:hAnsi="Times New Roman" w:cs="Times New Roman"/>
                <w:sz w:val="20"/>
              </w:rPr>
              <w:t>,</w:t>
            </w:r>
            <w:r>
              <w:rPr>
                <w:rFonts w:ascii="Times New Roman" w:hAnsi="Times New Roman" w:cs="Times New Roman"/>
                <w:sz w:val="20"/>
              </w:rPr>
              <w:t xml:space="preserve"> należy zatem postawić pytanie</w:t>
            </w:r>
            <w:r w:rsidR="001F7E61">
              <w:rPr>
                <w:rFonts w:ascii="Times New Roman" w:hAnsi="Times New Roman" w:cs="Times New Roman"/>
                <w:sz w:val="20"/>
              </w:rPr>
              <w:t>,</w:t>
            </w:r>
            <w:r>
              <w:rPr>
                <w:rFonts w:ascii="Times New Roman" w:hAnsi="Times New Roman" w:cs="Times New Roman"/>
                <w:sz w:val="20"/>
              </w:rPr>
              <w:t xml:space="preserve"> na</w:t>
            </w:r>
            <w:r w:rsidR="001F7E61">
              <w:rPr>
                <w:rFonts w:ascii="Times New Roman" w:hAnsi="Times New Roman" w:cs="Times New Roman"/>
                <w:sz w:val="20"/>
              </w:rPr>
              <w:t> </w:t>
            </w:r>
            <w:r>
              <w:rPr>
                <w:rFonts w:ascii="Times New Roman" w:hAnsi="Times New Roman" w:cs="Times New Roman"/>
                <w:sz w:val="20"/>
              </w:rPr>
              <w:t>czym to naruszenie miałoby polegać. Organy państwa i tak tymi danymi już dysponują. Ustawa nie wprowadza rozwiązań, które zobowiązywał</w:t>
            </w:r>
            <w:r w:rsidR="001F7E61">
              <w:rPr>
                <w:rFonts w:ascii="Times New Roman" w:hAnsi="Times New Roman" w:cs="Times New Roman"/>
                <w:sz w:val="20"/>
              </w:rPr>
              <w:t>y</w:t>
            </w:r>
            <w:r>
              <w:rPr>
                <w:rFonts w:ascii="Times New Roman" w:hAnsi="Times New Roman" w:cs="Times New Roman"/>
                <w:sz w:val="20"/>
              </w:rPr>
              <w:t xml:space="preserve">by obywateli do ujawniania jakiejkolwiek nowej informacji. Rozszerza </w:t>
            </w:r>
            <w:r>
              <w:rPr>
                <w:rFonts w:ascii="Times New Roman" w:hAnsi="Times New Roman" w:cs="Times New Roman"/>
                <w:sz w:val="20"/>
              </w:rPr>
              <w:lastRenderedPageBreak/>
              <w:t xml:space="preserve">jedynie zakres przetwarzania już posiadanych danych na potrzeby tworzenia zbiorczych danych statystycznych. W tym kontekście trudno uznać, że naruszeniem prywatności osoby w wieku 30 lat </w:t>
            </w:r>
            <w:r w:rsidR="001F7E61">
              <w:rPr>
                <w:rFonts w:ascii="Times New Roman" w:hAnsi="Times New Roman" w:cs="Times New Roman"/>
                <w:sz w:val="20"/>
              </w:rPr>
              <w:t xml:space="preserve">jest np. </w:t>
            </w:r>
            <w:r>
              <w:rPr>
                <w:rFonts w:ascii="Times New Roman" w:hAnsi="Times New Roman" w:cs="Times New Roman"/>
                <w:sz w:val="20"/>
              </w:rPr>
              <w:t xml:space="preserve">wykorzystanie informacji o nabyciu przez nią mieszkania do pozyskania przez instytucje państwowe prowadzące politykę </w:t>
            </w:r>
            <w:r w:rsidR="001F7E61">
              <w:rPr>
                <w:rFonts w:ascii="Times New Roman" w:hAnsi="Times New Roman" w:cs="Times New Roman"/>
                <w:sz w:val="20"/>
              </w:rPr>
              <w:t>mieszkaniową informacji</w:t>
            </w:r>
            <w:r>
              <w:rPr>
                <w:rFonts w:ascii="Times New Roman" w:hAnsi="Times New Roman" w:cs="Times New Roman"/>
                <w:sz w:val="20"/>
              </w:rPr>
              <w:t xml:space="preserve"> o liczbie osób w wieku 25-35 lat, które w danym roku nabyły mieszkanie. </w:t>
            </w:r>
          </w:p>
          <w:p w14:paraId="3535128F" w14:textId="5482D373" w:rsidR="00BB3645" w:rsidRPr="005D7262" w:rsidRDefault="009A52E0" w:rsidP="005A57D8">
            <w:pPr>
              <w:spacing w:before="120" w:after="120"/>
              <w:jc w:val="both"/>
              <w:rPr>
                <w:rFonts w:ascii="Times New Roman" w:hAnsi="Times New Roman" w:cs="Times New Roman"/>
                <w:sz w:val="20"/>
              </w:rPr>
            </w:pPr>
            <w:r>
              <w:rPr>
                <w:rFonts w:ascii="Times New Roman" w:hAnsi="Times New Roman" w:cs="Times New Roman"/>
                <w:sz w:val="20"/>
              </w:rPr>
              <w:t>Odnosząc się do kolejnego zastrzeżenia, u</w:t>
            </w:r>
            <w:r w:rsidR="007155F6">
              <w:rPr>
                <w:rFonts w:ascii="Times New Roman" w:hAnsi="Times New Roman" w:cs="Times New Roman"/>
                <w:sz w:val="20"/>
              </w:rPr>
              <w:t>łatwienia dla podmiotów profesjonalnych stanowią cel dodatkowy, a nie podstawowy</w:t>
            </w:r>
            <w:r w:rsidR="005D68CD">
              <w:rPr>
                <w:rFonts w:ascii="Times New Roman" w:hAnsi="Times New Roman" w:cs="Times New Roman"/>
                <w:sz w:val="20"/>
              </w:rPr>
              <w:t xml:space="preserve"> projektowanego narzędzia. Należy przypomnieć, że podmioty profesjonalne już obecnie dysponują możliwością dostępu do tego typu danych, m.in. dzięki temu, że mogą sobie pozwolić na dostęp komercyjny np. do bazy AMRON-</w:t>
            </w:r>
            <w:proofErr w:type="spellStart"/>
            <w:r w:rsidR="005D68CD">
              <w:rPr>
                <w:rFonts w:ascii="Times New Roman" w:hAnsi="Times New Roman" w:cs="Times New Roman"/>
                <w:sz w:val="20"/>
              </w:rPr>
              <w:t>Sarfin</w:t>
            </w:r>
            <w:proofErr w:type="spellEnd"/>
            <w:r w:rsidR="005D68CD">
              <w:rPr>
                <w:rFonts w:ascii="Times New Roman" w:hAnsi="Times New Roman" w:cs="Times New Roman"/>
                <w:sz w:val="20"/>
              </w:rPr>
              <w:t>.</w:t>
            </w:r>
            <w:r>
              <w:rPr>
                <w:rFonts w:ascii="Times New Roman" w:hAnsi="Times New Roman" w:cs="Times New Roman"/>
                <w:sz w:val="20"/>
              </w:rPr>
              <w:t xml:space="preserve"> </w:t>
            </w:r>
            <w:r w:rsidR="00747431">
              <w:rPr>
                <w:rFonts w:ascii="Times New Roman" w:hAnsi="Times New Roman" w:cs="Times New Roman"/>
                <w:sz w:val="20"/>
              </w:rPr>
              <w:t>Jest to jednym z czynników wzmacniających występującą na rynku mieszkaniowym asymetrię informacyjną pomiędzy deweloperami i</w:t>
            </w:r>
            <w:r w:rsidR="00FC157D">
              <w:rPr>
                <w:rFonts w:ascii="Times New Roman" w:hAnsi="Times New Roman" w:cs="Times New Roman"/>
                <w:sz w:val="20"/>
              </w:rPr>
              <w:t> </w:t>
            </w:r>
            <w:r w:rsidR="00747431">
              <w:rPr>
                <w:rFonts w:ascii="Times New Roman" w:hAnsi="Times New Roman" w:cs="Times New Roman"/>
                <w:sz w:val="20"/>
              </w:rPr>
              <w:t xml:space="preserve">nabywcami. </w:t>
            </w:r>
            <w:r w:rsidR="00E7664C">
              <w:rPr>
                <w:rFonts w:ascii="Times New Roman" w:hAnsi="Times New Roman" w:cs="Times New Roman"/>
                <w:sz w:val="20"/>
              </w:rPr>
              <w:t>Nie należy także zapominać, że wspomniane ułatwienia mają równoważyć obowiązki informacyjne podmiotów profesjonalnych związane z dostarczaniem danych do Portalu DOM.</w:t>
            </w:r>
          </w:p>
        </w:tc>
      </w:tr>
      <w:tr w:rsidR="00247963" w:rsidRPr="00FF4480" w14:paraId="6A225243" w14:textId="77777777" w:rsidTr="00E9565F">
        <w:trPr>
          <w:jc w:val="center"/>
        </w:trPr>
        <w:tc>
          <w:tcPr>
            <w:tcW w:w="554" w:type="dxa"/>
          </w:tcPr>
          <w:p w14:paraId="6B4DC572" w14:textId="77777777" w:rsidR="00247963" w:rsidRPr="00FF4480" w:rsidRDefault="00247963"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219C935D" w14:textId="4D28D04F" w:rsidR="00247963" w:rsidRPr="00247963" w:rsidRDefault="00247963" w:rsidP="005A57D8">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0ECE0E76" w14:textId="04AC561C" w:rsidR="00247963" w:rsidRDefault="00247963"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120D76C6" w14:textId="5800931E" w:rsidR="00E65DB5" w:rsidRPr="00247963" w:rsidRDefault="00247963" w:rsidP="00153675">
            <w:pPr>
              <w:spacing w:before="120" w:after="120"/>
              <w:jc w:val="both"/>
              <w:rPr>
                <w:rFonts w:ascii="Times New Roman" w:hAnsi="Times New Roman" w:cs="Times New Roman"/>
                <w:sz w:val="20"/>
              </w:rPr>
            </w:pPr>
            <w:r w:rsidRPr="00247963">
              <w:rPr>
                <w:rFonts w:ascii="Times New Roman" w:hAnsi="Times New Roman" w:cs="Times New Roman"/>
                <w:sz w:val="20"/>
              </w:rPr>
              <w:t xml:space="preserve">Przewidziane w projekcie wykorzystywanie notariuszy jako narzędzia uzyskiwania od obywateli danych dla Portalu DOM jest sprzeczne z zadaniami zawodu notariusza, wyznaczonymi przez ustawę z dnia 14 lutego 1991 r. Prawo o notariacie, która w art. 1 § 1 stanowi, że „Notariusz jest powołany do dokonywania czynności, którym strony są obowiązane lub pragną nadać formę notarialną (czynności notarialnych).”, a w art. 7 § 1 przewiduje, iż „Notariusz jako płatnik na podstawie odrębnych przepisów pobiera podatki.”. Bez wątpienia zbieranie danych służących wypełnianiu treścią Portalu DOM nie stanowi ani czynności notarialnej ani czynności płatnika podatków. Podkreślić należy przy tym, że projekt przewiduje rozszerzenie zakresu danych przekazywanych przez notariuszy do KAS o takie, które nie mają żadnego znaczenia dla </w:t>
            </w:r>
            <w:r w:rsidRPr="00247963">
              <w:rPr>
                <w:rFonts w:ascii="Times New Roman" w:hAnsi="Times New Roman" w:cs="Times New Roman"/>
                <w:sz w:val="20"/>
              </w:rPr>
              <w:lastRenderedPageBreak/>
              <w:t>kwestii obowiązków płatnika (pobór podatków), a służą wyłącznie potrzebom Portalu DOM (np. liczba pokoi w lokalu / budynku, kondygnacja położenia lokalu, łączna liczbę wszystkich kondygnacji w budynku). Projektodawca w istocie chce obciążyć notariuszy darmową pracą, polegającą na manualnym, ręcznym przenoszeniu danych z aktów notarialnych do Portalu DOM. Pracą, którą powinni wykonywać pracownicy podmiotu uzyskującego środki finansowe na prowadzenie tego portalu, czyli Ubezpieczeniowego Funduszu Gwarancyjnego. Na marginesie należy zauważyć, że przekazywanie informacji Generalnemu Inspektorowi Informacji Finansowej o przedmiocie transakcji przewidzianym w art. 72 ust. 6 pkt. 7a o adres lub miejsce położenia oraz nr księgi wieczystej nieruchomości czyni bezzasadnym podawanie dalszych informacji przewidzianych w kolejnych punktach bowiem znaczna część tych informacji zawarta jest w treści księgi wieczystej.</w:t>
            </w:r>
          </w:p>
        </w:tc>
        <w:tc>
          <w:tcPr>
            <w:tcW w:w="4160" w:type="dxa"/>
          </w:tcPr>
          <w:p w14:paraId="4B76458A" w14:textId="77777777" w:rsidR="00857EEF" w:rsidRPr="00AE21CB" w:rsidRDefault="00857EEF" w:rsidP="00857EEF">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4FB42904" w14:textId="4429F7DB" w:rsidR="00EB0980" w:rsidRPr="00EB0980" w:rsidRDefault="00857EEF" w:rsidP="00EB0980">
            <w:pPr>
              <w:spacing w:before="120" w:after="120"/>
              <w:jc w:val="both"/>
              <w:rPr>
                <w:rFonts w:ascii="Times New Roman" w:hAnsi="Times New Roman" w:cs="Times New Roman"/>
                <w:sz w:val="20"/>
              </w:rPr>
            </w:pPr>
            <w:r w:rsidRPr="00BB3645">
              <w:rPr>
                <w:rFonts w:ascii="Times New Roman" w:hAnsi="Times New Roman" w:cs="Times New Roman"/>
                <w:sz w:val="20"/>
              </w:rPr>
              <w:t>Portal DOM będzie korzystał z danych i</w:t>
            </w:r>
            <w:r>
              <w:rPr>
                <w:rFonts w:ascii="Times New Roman" w:hAnsi="Times New Roman" w:cs="Times New Roman"/>
                <w:sz w:val="20"/>
              </w:rPr>
              <w:t> </w:t>
            </w:r>
            <w:r w:rsidRPr="00BB3645">
              <w:rPr>
                <w:rFonts w:ascii="Times New Roman" w:hAnsi="Times New Roman" w:cs="Times New Roman"/>
                <w:sz w:val="20"/>
              </w:rPr>
              <w:t>informacji, co do zasady, gromadzonych już przez podmioty publiczne. Dokonane rozszerzenia zakresów danych i informacji zbieranych przez te podmioty są motywowane, w</w:t>
            </w:r>
            <w:r>
              <w:rPr>
                <w:rFonts w:ascii="Times New Roman" w:hAnsi="Times New Roman" w:cs="Times New Roman"/>
                <w:sz w:val="20"/>
              </w:rPr>
              <w:t> </w:t>
            </w:r>
            <w:r w:rsidRPr="00BB3645">
              <w:rPr>
                <w:rFonts w:ascii="Times New Roman" w:hAnsi="Times New Roman" w:cs="Times New Roman"/>
                <w:sz w:val="20"/>
              </w:rPr>
              <w:t>pierwszej kolejności, przez potrzeby stojące dotychczas za zbieraniem tych danych i</w:t>
            </w:r>
            <w:r>
              <w:rPr>
                <w:rFonts w:ascii="Times New Roman" w:hAnsi="Times New Roman" w:cs="Times New Roman"/>
                <w:sz w:val="20"/>
              </w:rPr>
              <w:t> </w:t>
            </w:r>
            <w:r w:rsidRPr="00BB3645">
              <w:rPr>
                <w:rFonts w:ascii="Times New Roman" w:hAnsi="Times New Roman" w:cs="Times New Roman"/>
                <w:sz w:val="20"/>
              </w:rPr>
              <w:t xml:space="preserve">informacji. </w:t>
            </w:r>
            <w:r w:rsidR="00285FE2" w:rsidRPr="00285FE2">
              <w:rPr>
                <w:rFonts w:ascii="Times New Roman" w:hAnsi="Times New Roman" w:cs="Times New Roman"/>
                <w:sz w:val="20"/>
              </w:rPr>
              <w:t xml:space="preserve">Dane i informacje pozyskiwane na gruncie przepisów o przeciwdziałaniu praniu pieniędzy oraz finansowaniu terroryzmu mają umożliwić ocenę transakcji pod kątem wartości </w:t>
            </w:r>
            <w:r w:rsidR="00285FE2" w:rsidRPr="00285FE2">
              <w:rPr>
                <w:rFonts w:ascii="Times New Roman" w:hAnsi="Times New Roman" w:cs="Times New Roman"/>
                <w:sz w:val="20"/>
              </w:rPr>
              <w:lastRenderedPageBreak/>
              <w:t>nieruchomości</w:t>
            </w:r>
            <w:r w:rsidR="00EB0980">
              <w:rPr>
                <w:rFonts w:ascii="Times New Roman" w:hAnsi="Times New Roman" w:cs="Times New Roman"/>
                <w:sz w:val="20"/>
              </w:rPr>
              <w:t>. W</w:t>
            </w:r>
            <w:r w:rsidR="00EB0980" w:rsidRPr="00EB0980">
              <w:rPr>
                <w:rFonts w:ascii="Times New Roman" w:hAnsi="Times New Roman" w:cs="Times New Roman"/>
                <w:sz w:val="20"/>
              </w:rPr>
              <w:t>yjaśnienie pozyskiwania szerszych niż ww. wskazane danych zostało przedstawione w uzasadnieniu.</w:t>
            </w:r>
            <w:r w:rsidR="00EB0980">
              <w:rPr>
                <w:rFonts w:ascii="Times New Roman" w:hAnsi="Times New Roman" w:cs="Times New Roman"/>
                <w:sz w:val="20"/>
              </w:rPr>
              <w:t xml:space="preserve"> Zgodnie ze stanowiskiem MF wyrażonym w toku uzgodnień międzyresortowych „</w:t>
            </w:r>
            <w:r w:rsidR="00EB0980" w:rsidRPr="00EB0980">
              <w:rPr>
                <w:rFonts w:ascii="Times New Roman" w:hAnsi="Times New Roman" w:cs="Times New Roman"/>
                <w:sz w:val="20"/>
              </w:rPr>
              <w:t>dane dotyczące przedmiotu transakcji ograniczone wyłącznie do adresu i</w:t>
            </w:r>
            <w:r w:rsidR="00EB0980">
              <w:rPr>
                <w:rFonts w:ascii="Times New Roman" w:hAnsi="Times New Roman" w:cs="Times New Roman"/>
                <w:sz w:val="20"/>
              </w:rPr>
              <w:t> </w:t>
            </w:r>
            <w:r w:rsidR="00EB0980" w:rsidRPr="00EB0980">
              <w:rPr>
                <w:rFonts w:ascii="Times New Roman" w:hAnsi="Times New Roman" w:cs="Times New Roman"/>
                <w:sz w:val="20"/>
              </w:rPr>
              <w:t>miejsca jego położenia a także ceny, nie pozwalają na ocenę takiej transakcji pod kątem wartości nieruchomości. Tym samym takie ograniczanie zakresu danych nie pozwala na analizę informacji dotyczących wartości majątkowych – co jest głównym celem wprowadzonej regulacji i jednym z zadań Generalnego Inspektora Informacji Finansowej. Automatyzacja przekazywania takich informacji, które są dostępne w aktach notarialnych sporządzanych przez notariuszy, przyczyni się do szybszej oceny danej transakcji i skróci czas na reakcję w przypadku podejrzenia, że transakcja ma związek z przestępstwem prania brudnych pieniędzy czy chociażby uszczupleniami podatkowymi</w:t>
            </w:r>
            <w:r w:rsidR="00EB0980">
              <w:rPr>
                <w:rFonts w:ascii="Times New Roman" w:hAnsi="Times New Roman" w:cs="Times New Roman"/>
                <w:sz w:val="20"/>
              </w:rPr>
              <w:t>”.</w:t>
            </w:r>
          </w:p>
          <w:p w14:paraId="19DBC288" w14:textId="50193331" w:rsidR="00EB0980" w:rsidRDefault="00EB0980" w:rsidP="00857EEF">
            <w:pPr>
              <w:spacing w:before="120" w:after="120"/>
              <w:jc w:val="both"/>
              <w:rPr>
                <w:rFonts w:ascii="Times New Roman" w:hAnsi="Times New Roman" w:cs="Times New Roman"/>
                <w:sz w:val="20"/>
              </w:rPr>
            </w:pPr>
            <w:r>
              <w:rPr>
                <w:rFonts w:ascii="Times New Roman" w:hAnsi="Times New Roman" w:cs="Times New Roman"/>
                <w:sz w:val="20"/>
              </w:rPr>
              <w:t>P</w:t>
            </w:r>
            <w:r w:rsidRPr="00EB0980">
              <w:rPr>
                <w:rFonts w:ascii="Times New Roman" w:hAnsi="Times New Roman" w:cs="Times New Roman"/>
                <w:sz w:val="20"/>
              </w:rPr>
              <w:t>otrzeba szybkiego uzyskania danych</w:t>
            </w:r>
            <w:r>
              <w:rPr>
                <w:rFonts w:ascii="Times New Roman" w:hAnsi="Times New Roman" w:cs="Times New Roman"/>
                <w:sz w:val="20"/>
              </w:rPr>
              <w:t xml:space="preserve"> jest równie istotna z punktu widzenia zadań KAS. Postulowane przez Stowarzyszenie rozwiązanie powodowałoby </w:t>
            </w:r>
            <w:r w:rsidRPr="00EB0980">
              <w:rPr>
                <w:rFonts w:ascii="Times New Roman" w:hAnsi="Times New Roman" w:cs="Times New Roman"/>
                <w:sz w:val="20"/>
              </w:rPr>
              <w:t>konieczność każdorazowego zaglądania przez służby KAS do księgi wieczystej w celu pozyskania pozostałych dostępnych tam danych istotnych z punktu widzenia zadań ustawowych KAS. Pozyskiwanie wszystkich wskazanych danych usprawni prace administracji skarbowej i zredukuje ryzyko popełnienia błędów przy wpisywaniu danych</w:t>
            </w:r>
            <w:r>
              <w:rPr>
                <w:rFonts w:ascii="Times New Roman" w:hAnsi="Times New Roman" w:cs="Times New Roman"/>
                <w:sz w:val="20"/>
              </w:rPr>
              <w:t xml:space="preserve">. Wspomniane </w:t>
            </w:r>
            <w:r w:rsidRPr="00EB0980">
              <w:rPr>
                <w:rFonts w:ascii="Times New Roman" w:hAnsi="Times New Roman" w:cs="Times New Roman"/>
                <w:sz w:val="20"/>
              </w:rPr>
              <w:t xml:space="preserve">ryzyko niwelowane jest </w:t>
            </w:r>
            <w:r>
              <w:rPr>
                <w:rFonts w:ascii="Times New Roman" w:hAnsi="Times New Roman" w:cs="Times New Roman"/>
                <w:sz w:val="20"/>
              </w:rPr>
              <w:t>już choćby</w:t>
            </w:r>
            <w:r w:rsidRPr="00EB0980">
              <w:rPr>
                <w:rFonts w:ascii="Times New Roman" w:hAnsi="Times New Roman" w:cs="Times New Roman"/>
                <w:sz w:val="20"/>
              </w:rPr>
              <w:t xml:space="preserve"> </w:t>
            </w:r>
            <w:r w:rsidR="00551D1F">
              <w:rPr>
                <w:rFonts w:ascii="Times New Roman" w:hAnsi="Times New Roman" w:cs="Times New Roman"/>
                <w:sz w:val="20"/>
              </w:rPr>
              <w:t>z tego powodu</w:t>
            </w:r>
            <w:r w:rsidRPr="00EB0980">
              <w:rPr>
                <w:rFonts w:ascii="Times New Roman" w:hAnsi="Times New Roman" w:cs="Times New Roman"/>
                <w:sz w:val="20"/>
              </w:rPr>
              <w:t xml:space="preserve">, że na pracowniku KAS spoczywałyby działania dotyczące czynności dużej liczby notariuszy, na notariuszu – jedynie działania dotyczące czynności podejmowanych przez niego samego, o których ma największą, </w:t>
            </w:r>
            <w:r w:rsidRPr="00EB0980">
              <w:rPr>
                <w:rFonts w:ascii="Times New Roman" w:hAnsi="Times New Roman" w:cs="Times New Roman"/>
                <w:sz w:val="20"/>
              </w:rPr>
              <w:lastRenderedPageBreak/>
              <w:t>poza stronami umów, w</w:t>
            </w:r>
            <w:r>
              <w:rPr>
                <w:rFonts w:ascii="Times New Roman" w:hAnsi="Times New Roman" w:cs="Times New Roman"/>
                <w:sz w:val="20"/>
              </w:rPr>
              <w:t> </w:t>
            </w:r>
            <w:r w:rsidRPr="00EB0980">
              <w:rPr>
                <w:rFonts w:ascii="Times New Roman" w:hAnsi="Times New Roman" w:cs="Times New Roman"/>
                <w:sz w:val="20"/>
              </w:rPr>
              <w:t>ramach uczestników systemu wiedzę.</w:t>
            </w:r>
          </w:p>
          <w:p w14:paraId="6ED5324E" w14:textId="3BC31003" w:rsidR="00857EEF" w:rsidRDefault="00857EEF" w:rsidP="00857EEF">
            <w:pPr>
              <w:spacing w:before="120" w:after="120"/>
              <w:jc w:val="both"/>
              <w:rPr>
                <w:rFonts w:ascii="Times New Roman" w:hAnsi="Times New Roman" w:cs="Times New Roman"/>
                <w:sz w:val="20"/>
              </w:rPr>
            </w:pPr>
            <w:r>
              <w:rPr>
                <w:rFonts w:ascii="Times New Roman" w:hAnsi="Times New Roman" w:cs="Times New Roman"/>
                <w:sz w:val="20"/>
              </w:rPr>
              <w:t xml:space="preserve">Zakres rozszerzenia katalogu danych na gruncie przepisów o przeciwdziałaniu praniu </w:t>
            </w:r>
            <w:r w:rsidRPr="00BB3645">
              <w:rPr>
                <w:rFonts w:ascii="Times New Roman" w:hAnsi="Times New Roman" w:cs="Times New Roman"/>
                <w:sz w:val="20"/>
              </w:rPr>
              <w:t>pieniędzy oraz finansowaniu terroryzmu</w:t>
            </w:r>
            <w:r>
              <w:rPr>
                <w:rFonts w:ascii="Times New Roman" w:hAnsi="Times New Roman" w:cs="Times New Roman"/>
                <w:sz w:val="20"/>
              </w:rPr>
              <w:t xml:space="preserve"> był ustalany wspólnie z pracownikami Szefa Krajowej Administracji Skarbowej na etapie prac koncepcyjnych i wyboru źródeł danych i informacji dla Portalu. Kierowano się </w:t>
            </w:r>
            <w:r w:rsidR="00551D1F">
              <w:rPr>
                <w:rFonts w:ascii="Times New Roman" w:hAnsi="Times New Roman" w:cs="Times New Roman"/>
                <w:sz w:val="20"/>
              </w:rPr>
              <w:t xml:space="preserve">tu </w:t>
            </w:r>
            <w:r>
              <w:rPr>
                <w:rFonts w:ascii="Times New Roman" w:hAnsi="Times New Roman" w:cs="Times New Roman"/>
                <w:sz w:val="20"/>
              </w:rPr>
              <w:t xml:space="preserve">m.in. motywacją, by nie tworzyć nowych obowiązków informacyjnych, a zatem nie kreować nowych obciążeń dla uczestników systemu. </w:t>
            </w:r>
            <w:r w:rsidRPr="00BB3645">
              <w:rPr>
                <w:rFonts w:ascii="Times New Roman" w:hAnsi="Times New Roman" w:cs="Times New Roman"/>
                <w:sz w:val="20"/>
              </w:rPr>
              <w:t xml:space="preserve">Zasilenie Portalu DOM jest </w:t>
            </w:r>
            <w:r w:rsidR="00551D1F">
              <w:rPr>
                <w:rFonts w:ascii="Times New Roman" w:hAnsi="Times New Roman" w:cs="Times New Roman"/>
                <w:sz w:val="20"/>
              </w:rPr>
              <w:t xml:space="preserve">tu </w:t>
            </w:r>
            <w:r w:rsidRPr="00BB3645">
              <w:rPr>
                <w:rFonts w:ascii="Times New Roman" w:hAnsi="Times New Roman" w:cs="Times New Roman"/>
                <w:sz w:val="20"/>
              </w:rPr>
              <w:t xml:space="preserve">motywacją wtórną, </w:t>
            </w:r>
            <w:r>
              <w:rPr>
                <w:rFonts w:ascii="Times New Roman" w:hAnsi="Times New Roman" w:cs="Times New Roman"/>
                <w:sz w:val="20"/>
              </w:rPr>
              <w:t xml:space="preserve">w ocenie projektodawcy </w:t>
            </w:r>
            <w:r w:rsidRPr="00BB3645">
              <w:rPr>
                <w:rFonts w:ascii="Times New Roman" w:hAnsi="Times New Roman" w:cs="Times New Roman"/>
                <w:sz w:val="20"/>
              </w:rPr>
              <w:t>niegenerującą dla uczestników obrotu obowiązków informacyjnych, których uciążliwość mogłaby być kwestionowana konstytucyjnie.</w:t>
            </w:r>
          </w:p>
          <w:p w14:paraId="29923C5C" w14:textId="54E8C60A" w:rsidR="00857EEF" w:rsidRPr="005D7262" w:rsidRDefault="001D7E72" w:rsidP="005A57D8">
            <w:pPr>
              <w:spacing w:before="120" w:after="120"/>
              <w:jc w:val="both"/>
              <w:rPr>
                <w:rFonts w:ascii="Times New Roman" w:hAnsi="Times New Roman" w:cs="Times New Roman"/>
                <w:sz w:val="20"/>
              </w:rPr>
            </w:pPr>
            <w:r>
              <w:rPr>
                <w:rFonts w:ascii="Times New Roman" w:hAnsi="Times New Roman" w:cs="Times New Roman"/>
                <w:sz w:val="20"/>
              </w:rPr>
              <w:t xml:space="preserve">Argumentacja dotycząca wynagrodzenia notariuszy została przedstawiona w odpowiedzi na uwagi Stowarzyszenia </w:t>
            </w:r>
            <w:r w:rsidR="00EA2518">
              <w:rPr>
                <w:rFonts w:ascii="Times New Roman" w:hAnsi="Times New Roman" w:cs="Times New Roman"/>
                <w:sz w:val="20"/>
              </w:rPr>
              <w:t>dotykające</w:t>
            </w:r>
            <w:r>
              <w:rPr>
                <w:rFonts w:ascii="Times New Roman" w:hAnsi="Times New Roman" w:cs="Times New Roman"/>
                <w:sz w:val="20"/>
              </w:rPr>
              <w:t xml:space="preserve"> bezpośrednio tej kwestii.</w:t>
            </w:r>
          </w:p>
        </w:tc>
      </w:tr>
      <w:tr w:rsidR="00E65DB5" w:rsidRPr="00FF4480" w14:paraId="1B10F02F" w14:textId="77777777" w:rsidTr="00E9565F">
        <w:trPr>
          <w:jc w:val="center"/>
        </w:trPr>
        <w:tc>
          <w:tcPr>
            <w:tcW w:w="554" w:type="dxa"/>
          </w:tcPr>
          <w:p w14:paraId="2A2BA167" w14:textId="77777777" w:rsidR="00E65DB5" w:rsidRPr="00FF4480" w:rsidRDefault="00E65DB5"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66DBAD9B" w14:textId="3DB57F82" w:rsidR="00E65DB5" w:rsidRPr="00247963" w:rsidRDefault="00E65DB5" w:rsidP="005A57D8">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149FEE33" w14:textId="76E97E48" w:rsidR="00E65DB5" w:rsidRDefault="00E65DB5"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5681DAAA" w14:textId="2918D073" w:rsidR="00E65DB5" w:rsidRPr="00247963" w:rsidRDefault="00E65DB5" w:rsidP="00153675">
            <w:pPr>
              <w:spacing w:before="120" w:after="120"/>
              <w:jc w:val="both"/>
              <w:rPr>
                <w:rFonts w:ascii="Times New Roman" w:hAnsi="Times New Roman" w:cs="Times New Roman"/>
                <w:sz w:val="20"/>
              </w:rPr>
            </w:pPr>
            <w:r w:rsidRPr="00E65DB5">
              <w:rPr>
                <w:rFonts w:ascii="Times New Roman" w:hAnsi="Times New Roman" w:cs="Times New Roman"/>
                <w:sz w:val="20"/>
              </w:rPr>
              <w:t xml:space="preserve">Notariusz ma obowiązek zachować w tajemnicy wszystkie okoliczności sprawy, o których powziął wiadomość ze względu na wykonywane czynności notarialne. Obowiązek ten nie dotyczy jednak informacji udostępnianych na podstawie przepisów ustawy z dnia 1 marca 2018 roku o przeciwdziałaniu praniu pieniędzy oraz finansowaniu terroryzmu oraz przekazywanych na podstawie przepisów rozdziału 11a działu III ustawy z dnia 29 sierpnia 1997 r. - Ordynacja podatkowa (Dz. U. z 2023 r. poz. 2383 i 2760)” które to wyłączenie znajduje się w art. 18 §4 Ustawy z dnia 14 lutego 1991 r. Prawo o notariacie. Projektodawca – na potrzeby pozyskiwania danych do portalu DOM – wykorzystuje zwolnienie notariusza z obowiązku zachowania tajemnicy notarialnej przewidzianej w prawie o notariacie, nakazując notariuszowi, w art. 72 ust. 6 pkt. 7a ustawy o przeciwdziałaniu praniu pieniędzy oraz finansowaniu terroryzmu (ustawa AML), przekazywanie rozszerzonego katalogu danych za pośrednictwem systemu GIIF/KAS, poprzez zmianę </w:t>
            </w:r>
            <w:r w:rsidRPr="00E65DB5">
              <w:rPr>
                <w:rFonts w:ascii="Times New Roman" w:hAnsi="Times New Roman" w:cs="Times New Roman"/>
                <w:sz w:val="20"/>
              </w:rPr>
              <w:lastRenderedPageBreak/>
              <w:t>brzmienia tego przepisu. ZG SNRP zwraca w tym miejscu uwagę, że planowany obowiązek udostępnienia nowych informacji – nałożony poprzez planowaną nowelizację ustawy AML - nie służy w żaden sposób ani realizacji celów ustawy AML, wynikających między innymi z Rozporządzenia Parlamentu Europejskiego i Rady (UE) 2015/847 z dn. 20 maja 2015 r. i Rozporządzenia Parlamentu Europejskiego i Rady (UE) 2019/2175 z dn. 18 grudnia 2019 r., ani realizacji celów ustawy Ordynacja podatkowa. Z całą mocą pragniemy podkreślić, że planowana nowelizacja ustawy AML ma na celu wykorzystanie przepisów tej ustawy do pozyskiwania danych do portalu DOM, a więc instytucji nieznanej ustawie AML, poprzez wprowadzenie obowiązku przekazywania przez notariuszy nowych danych dotyczących przedmiotu transakcji. A zatem jest wytrychem, pozwalającym na pozyskanie danych od notariuszy, danych objętych tajemnicą notarialną.</w:t>
            </w:r>
          </w:p>
        </w:tc>
        <w:tc>
          <w:tcPr>
            <w:tcW w:w="4160" w:type="dxa"/>
          </w:tcPr>
          <w:p w14:paraId="468D056D" w14:textId="72D58F93" w:rsidR="00E80217" w:rsidRPr="00E80217" w:rsidRDefault="00E80217" w:rsidP="005A57D8">
            <w:pPr>
              <w:spacing w:before="120" w:after="120"/>
              <w:jc w:val="both"/>
              <w:rPr>
                <w:rFonts w:ascii="Times New Roman" w:hAnsi="Times New Roman" w:cs="Times New Roman"/>
                <w:sz w:val="20"/>
                <w:u w:val="single"/>
              </w:rPr>
            </w:pPr>
            <w:r w:rsidRPr="00E80217">
              <w:rPr>
                <w:rFonts w:ascii="Times New Roman" w:hAnsi="Times New Roman" w:cs="Times New Roman"/>
                <w:sz w:val="20"/>
                <w:u w:val="single"/>
              </w:rPr>
              <w:lastRenderedPageBreak/>
              <w:t>Komentarz do uwagi</w:t>
            </w:r>
          </w:p>
          <w:p w14:paraId="157C3D7A" w14:textId="237FC5E9" w:rsidR="002472D6" w:rsidRPr="00E80217" w:rsidRDefault="00E80217" w:rsidP="002472D6">
            <w:pPr>
              <w:spacing w:before="120" w:after="120"/>
              <w:jc w:val="both"/>
              <w:rPr>
                <w:rFonts w:ascii="Times New Roman" w:hAnsi="Times New Roman" w:cs="Times New Roman"/>
                <w:sz w:val="20"/>
              </w:rPr>
            </w:pPr>
            <w:r w:rsidRPr="00E80217">
              <w:rPr>
                <w:rFonts w:ascii="Times New Roman" w:hAnsi="Times New Roman" w:cs="Times New Roman"/>
                <w:sz w:val="20"/>
              </w:rPr>
              <w:t xml:space="preserve">Zgodnie ze stanowiskiem przedstawionym przez </w:t>
            </w:r>
            <w:r w:rsidR="00551D1F">
              <w:rPr>
                <w:rFonts w:ascii="Times New Roman" w:hAnsi="Times New Roman" w:cs="Times New Roman"/>
                <w:sz w:val="20"/>
              </w:rPr>
              <w:t>MF</w:t>
            </w:r>
            <w:r w:rsidRPr="00E80217">
              <w:rPr>
                <w:rFonts w:ascii="Times New Roman" w:hAnsi="Times New Roman" w:cs="Times New Roman"/>
                <w:sz w:val="20"/>
              </w:rPr>
              <w:t xml:space="preserve"> w toku uzgodnień międzyresortowych „z</w:t>
            </w:r>
            <w:r w:rsidR="002472D6" w:rsidRPr="00E80217">
              <w:rPr>
                <w:rFonts w:ascii="Times New Roman" w:hAnsi="Times New Roman" w:cs="Times New Roman"/>
                <w:sz w:val="20"/>
              </w:rPr>
              <w:t>a nietrafną należy uznać uwagę dotyczącą braku zasadności przekazywania danych do Portalu DOM przy wykorzystaniu już obecnie funkcjonującego Systemu Informatycznego Generalnego Inspektora Informacji Finansowej. Projektowane przepisy nie wprowadzają obowiązku odrębnego przekazywania danych przez notariuszy do Portalu</w:t>
            </w:r>
            <w:r w:rsidRPr="00E80217">
              <w:rPr>
                <w:rFonts w:ascii="Times New Roman" w:hAnsi="Times New Roman" w:cs="Times New Roman"/>
                <w:sz w:val="20"/>
              </w:rPr>
              <w:t>,</w:t>
            </w:r>
            <w:r w:rsidR="002472D6" w:rsidRPr="00E80217">
              <w:rPr>
                <w:rFonts w:ascii="Times New Roman" w:hAnsi="Times New Roman" w:cs="Times New Roman"/>
                <w:sz w:val="20"/>
              </w:rPr>
              <w:t xml:space="preserve"> ale powodują wykorzystanie danych już znanych organom.</w:t>
            </w:r>
          </w:p>
          <w:p w14:paraId="4EAE982E" w14:textId="454A08D9" w:rsidR="002472D6" w:rsidRPr="005D7262" w:rsidRDefault="002472D6" w:rsidP="002472D6">
            <w:pPr>
              <w:spacing w:before="120" w:after="120"/>
              <w:jc w:val="both"/>
              <w:rPr>
                <w:rFonts w:ascii="Times New Roman" w:hAnsi="Times New Roman" w:cs="Times New Roman"/>
                <w:sz w:val="20"/>
              </w:rPr>
            </w:pPr>
            <w:r w:rsidRPr="00E80217">
              <w:rPr>
                <w:rFonts w:ascii="Times New Roman" w:hAnsi="Times New Roman" w:cs="Times New Roman"/>
                <w:sz w:val="20"/>
              </w:rPr>
              <w:t xml:space="preserve">Należy to uznać za racjonalne działanie projektodawcy. Również </w:t>
            </w:r>
            <w:r w:rsidR="00BF5086">
              <w:rPr>
                <w:rFonts w:ascii="Times New Roman" w:hAnsi="Times New Roman" w:cs="Times New Roman"/>
                <w:sz w:val="20"/>
              </w:rPr>
              <w:t>&gt;&gt;</w:t>
            </w:r>
            <w:r w:rsidRPr="00E80217">
              <w:rPr>
                <w:rFonts w:ascii="Times New Roman" w:hAnsi="Times New Roman" w:cs="Times New Roman"/>
                <w:sz w:val="20"/>
              </w:rPr>
              <w:t>rozszerzony</w:t>
            </w:r>
            <w:r w:rsidR="00BF5086">
              <w:rPr>
                <w:rFonts w:ascii="Times New Roman" w:hAnsi="Times New Roman" w:cs="Times New Roman"/>
                <w:sz w:val="20"/>
              </w:rPr>
              <w:t>&lt;&lt;</w:t>
            </w:r>
            <w:r w:rsidRPr="00E80217">
              <w:rPr>
                <w:rFonts w:ascii="Times New Roman" w:hAnsi="Times New Roman" w:cs="Times New Roman"/>
                <w:sz w:val="20"/>
              </w:rPr>
              <w:t xml:space="preserve"> zakres danych</w:t>
            </w:r>
            <w:r w:rsidR="00551D1F">
              <w:rPr>
                <w:rFonts w:ascii="Times New Roman" w:hAnsi="Times New Roman" w:cs="Times New Roman"/>
                <w:sz w:val="20"/>
              </w:rPr>
              <w:t>,</w:t>
            </w:r>
            <w:r w:rsidRPr="00E80217">
              <w:rPr>
                <w:rFonts w:ascii="Times New Roman" w:hAnsi="Times New Roman" w:cs="Times New Roman"/>
                <w:sz w:val="20"/>
              </w:rPr>
              <w:t xml:space="preserve"> jakie powinny być przekazywane</w:t>
            </w:r>
            <w:r w:rsidR="00BF5086">
              <w:rPr>
                <w:rFonts w:ascii="Times New Roman" w:hAnsi="Times New Roman" w:cs="Times New Roman"/>
                <w:sz w:val="20"/>
              </w:rPr>
              <w:t>,</w:t>
            </w:r>
            <w:r w:rsidRPr="00E80217">
              <w:rPr>
                <w:rFonts w:ascii="Times New Roman" w:hAnsi="Times New Roman" w:cs="Times New Roman"/>
                <w:sz w:val="20"/>
              </w:rPr>
              <w:t xml:space="preserve"> </w:t>
            </w:r>
            <w:r w:rsidRPr="00E80217">
              <w:rPr>
                <w:rFonts w:ascii="Times New Roman" w:hAnsi="Times New Roman" w:cs="Times New Roman"/>
                <w:sz w:val="20"/>
              </w:rPr>
              <w:lastRenderedPageBreak/>
              <w:t>powoduje doprecyzowanie charakterystyki nieruchomości i osób biorących udział w</w:t>
            </w:r>
            <w:r w:rsidR="00BF5086">
              <w:rPr>
                <w:rFonts w:ascii="Times New Roman" w:hAnsi="Times New Roman" w:cs="Times New Roman"/>
                <w:sz w:val="20"/>
              </w:rPr>
              <w:t> </w:t>
            </w:r>
            <w:r w:rsidRPr="00E80217">
              <w:rPr>
                <w:rFonts w:ascii="Times New Roman" w:hAnsi="Times New Roman" w:cs="Times New Roman"/>
                <w:sz w:val="20"/>
              </w:rPr>
              <w:t>czynności. Ocena wartości nieruchomości oparta powinna być na cechach</w:t>
            </w:r>
            <w:r w:rsidR="00BF5086">
              <w:rPr>
                <w:rFonts w:ascii="Times New Roman" w:hAnsi="Times New Roman" w:cs="Times New Roman"/>
                <w:sz w:val="20"/>
              </w:rPr>
              <w:t>,</w:t>
            </w:r>
            <w:r w:rsidRPr="00E80217">
              <w:rPr>
                <w:rFonts w:ascii="Times New Roman" w:hAnsi="Times New Roman" w:cs="Times New Roman"/>
                <w:sz w:val="20"/>
              </w:rPr>
              <w:t xml:space="preserve"> które powodują jej wzrost lub spadek</w:t>
            </w:r>
            <w:r w:rsidR="00BF5086">
              <w:rPr>
                <w:rFonts w:ascii="Times New Roman" w:hAnsi="Times New Roman" w:cs="Times New Roman"/>
                <w:sz w:val="20"/>
              </w:rPr>
              <w:t>,</w:t>
            </w:r>
            <w:r w:rsidRPr="00E80217">
              <w:rPr>
                <w:rFonts w:ascii="Times New Roman" w:hAnsi="Times New Roman" w:cs="Times New Roman"/>
                <w:sz w:val="20"/>
              </w:rPr>
              <w:t xml:space="preserve"> i o takie dane został rozszerzony zakres przekazywanych danych. Te dodatkowe czynniki mające wpływ na wartość nieruchomości powinny być wtedy przekazywane</w:t>
            </w:r>
            <w:r w:rsidR="00BF5086">
              <w:rPr>
                <w:rFonts w:ascii="Times New Roman" w:hAnsi="Times New Roman" w:cs="Times New Roman"/>
                <w:sz w:val="20"/>
              </w:rPr>
              <w:t>,</w:t>
            </w:r>
            <w:r w:rsidRPr="00E80217">
              <w:rPr>
                <w:rFonts w:ascii="Times New Roman" w:hAnsi="Times New Roman" w:cs="Times New Roman"/>
                <w:sz w:val="20"/>
              </w:rPr>
              <w:t xml:space="preserve"> o ile znane są notariuszowi. Ocena transakcji pod kątem przeciwdziałania praniu brudnych pieniędzy to również porównanie rynkowej ceny z kwotą zapłaconą, a</w:t>
            </w:r>
            <w:r w:rsidR="00BF5086">
              <w:rPr>
                <w:rFonts w:ascii="Times New Roman" w:hAnsi="Times New Roman" w:cs="Times New Roman"/>
                <w:sz w:val="20"/>
              </w:rPr>
              <w:t> </w:t>
            </w:r>
            <w:r w:rsidRPr="00E80217">
              <w:rPr>
                <w:rFonts w:ascii="Times New Roman" w:hAnsi="Times New Roman" w:cs="Times New Roman"/>
                <w:sz w:val="20"/>
              </w:rPr>
              <w:t>tylko precyzyjne dane o nieruchomości powodują możliwość przeprowadzenia takiej oceny</w:t>
            </w:r>
            <w:r w:rsidR="00E80217" w:rsidRPr="00E80217">
              <w:rPr>
                <w:rFonts w:ascii="Times New Roman" w:hAnsi="Times New Roman" w:cs="Times New Roman"/>
                <w:sz w:val="20"/>
              </w:rPr>
              <w:t>”</w:t>
            </w:r>
            <w:r w:rsidR="00E80217">
              <w:rPr>
                <w:rFonts w:ascii="Times New Roman" w:hAnsi="Times New Roman" w:cs="Times New Roman"/>
                <w:sz w:val="20"/>
              </w:rPr>
              <w:t>.</w:t>
            </w:r>
          </w:p>
        </w:tc>
      </w:tr>
      <w:tr w:rsidR="00B1299D" w:rsidRPr="00FF4480" w14:paraId="79B12BF1" w14:textId="77777777" w:rsidTr="00E9565F">
        <w:trPr>
          <w:jc w:val="center"/>
        </w:trPr>
        <w:tc>
          <w:tcPr>
            <w:tcW w:w="554" w:type="dxa"/>
          </w:tcPr>
          <w:p w14:paraId="36BC0A3B" w14:textId="77777777" w:rsidR="00B1299D" w:rsidRPr="00FF4480" w:rsidRDefault="00B1299D"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66E147F5" w14:textId="4BA8909A" w:rsidR="00B1299D" w:rsidRPr="00247963" w:rsidRDefault="00B1299D" w:rsidP="005A57D8">
            <w:pPr>
              <w:spacing w:before="120" w:after="120"/>
              <w:rPr>
                <w:rFonts w:ascii="Times New Roman" w:hAnsi="Times New Roman" w:cs="Times New Roman"/>
                <w:sz w:val="20"/>
              </w:rPr>
            </w:pPr>
            <w:r w:rsidRPr="00B1299D">
              <w:rPr>
                <w:rFonts w:ascii="Times New Roman" w:hAnsi="Times New Roman" w:cs="Times New Roman"/>
                <w:sz w:val="20"/>
              </w:rPr>
              <w:t>Stowarzyszenie Notariuszy RP</w:t>
            </w:r>
          </w:p>
        </w:tc>
        <w:tc>
          <w:tcPr>
            <w:tcW w:w="1905" w:type="dxa"/>
            <w:vAlign w:val="center"/>
          </w:tcPr>
          <w:p w14:paraId="6B9269A1" w14:textId="1CC0498D" w:rsidR="00B1299D" w:rsidRDefault="00B1299D"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3F074BF3" w14:textId="77777777" w:rsidR="00B1299D" w:rsidRPr="00B1299D" w:rsidRDefault="00B1299D" w:rsidP="00B1299D">
            <w:pPr>
              <w:spacing w:before="120" w:after="120"/>
              <w:jc w:val="both"/>
              <w:rPr>
                <w:rFonts w:ascii="Times New Roman" w:hAnsi="Times New Roman" w:cs="Times New Roman"/>
                <w:sz w:val="20"/>
              </w:rPr>
            </w:pPr>
            <w:r w:rsidRPr="00B1299D">
              <w:rPr>
                <w:rFonts w:ascii="Times New Roman" w:hAnsi="Times New Roman" w:cs="Times New Roman"/>
                <w:sz w:val="20"/>
              </w:rPr>
              <w:t>W projekcie, Projektodawca w sposób mistrzowski pominął kwestie związane z wynagrodzeniem dla notariusza za dodatkowe obowiązki, których wykonanie wymaga czasu i ma wpływ na podniesienie kosztów prowadzenia kancelarii notarialnej. Wbrew temu co Projektodawca napisał w uzasadnieniu do projektu i OSR dodane obowiązki nie wiążą się ze wzrostem wynagrodzenia notariusza. Od ponad 20 lat ustawodawca nakłada na notariuszy coraz to nowe obowiązki, które nie są</w:t>
            </w:r>
            <w:r>
              <w:rPr>
                <w:rFonts w:ascii="Times New Roman" w:hAnsi="Times New Roman" w:cs="Times New Roman"/>
                <w:sz w:val="20"/>
              </w:rPr>
              <w:t xml:space="preserve"> </w:t>
            </w:r>
            <w:r w:rsidRPr="00B1299D">
              <w:rPr>
                <w:rFonts w:ascii="Times New Roman" w:hAnsi="Times New Roman" w:cs="Times New Roman"/>
                <w:sz w:val="20"/>
              </w:rPr>
              <w:t>potrzebne do samego dokonania czynności notarialnych, ale są wykorzystywane przez inne instytucje, które dane z aktów notarialnych musiałyby pobierać na własny koszt i pracą własnych urzędników. Takim sztandarowym przykładem jest np. wprowadzenie w 2001 roku obowiązku pobierania przez notariuszy opłaty sądowej od wpisów do ksiąg wieczystych w celu likwidacji zaległości w ściąganiu opłat sądowych przez sądy, za co notariusz nie pobiera wynagrodzenia, a co generuje koszty w postaci nakładu czasu na wyliczenie i wpisanie opłat, koszty związane z dokonywaniem przelewów na rachunki sądów oraz koszty związane z raportowaniem wysokości pobranych opłat do właściwych sądów.</w:t>
            </w:r>
          </w:p>
          <w:p w14:paraId="6AEB2758" w14:textId="15F97BDA" w:rsidR="00B1299D" w:rsidRPr="00E65DB5" w:rsidRDefault="00B1299D" w:rsidP="00B1299D">
            <w:pPr>
              <w:spacing w:before="120" w:after="120"/>
              <w:jc w:val="both"/>
              <w:rPr>
                <w:rFonts w:ascii="Times New Roman" w:hAnsi="Times New Roman" w:cs="Times New Roman"/>
                <w:sz w:val="20"/>
              </w:rPr>
            </w:pPr>
            <w:r w:rsidRPr="00B1299D">
              <w:rPr>
                <w:rFonts w:ascii="Times New Roman" w:hAnsi="Times New Roman" w:cs="Times New Roman"/>
                <w:sz w:val="20"/>
              </w:rPr>
              <w:t xml:space="preserve">Nie kwestionując zasadności wprowadzenia wielu nowych obowiązków podkreślić należy, że notariusz jako osoba zaufania publicznego wykonująca odpowiedzialną i ważną dla bezpieczeństwa porządku prawnego i obrotu nieruchomościami i </w:t>
            </w:r>
            <w:r w:rsidRPr="00B1299D">
              <w:rPr>
                <w:rFonts w:ascii="Times New Roman" w:hAnsi="Times New Roman" w:cs="Times New Roman"/>
                <w:sz w:val="20"/>
              </w:rPr>
              <w:lastRenderedPageBreak/>
              <w:t>osoba o wysokich kwalifikacjach zawodowych, za swoją pracę powinna otrzymywać godziwe wynagrodzenie, obejmujące również koszty wykonywania nowych obowiązków. Coraz większa liczba notariuszy osiąga dochody oscylujące w okolicach średniej krajowej. Biorąc natomiast pod uwagę zakres odpowiedzialności i obowiązków, przy braku urealnienia taksy notarialnej jest dla notariuszy zwyczajne krzywdzące. Ustawodawca jak pokazuje doświadczenie nie zapomina o notariuszach w przypadku dodawania im stale nowych obowiązków często zagrożonych odpowiedzialnością administracyjną lub karną a zapomina o zapłacie za ich wykonywanie. Rozporządzenie Ministra Sprawiedliwości w sprawie maksymalnych stawek taksy notarialnej pochodzi z 2004 roku i obejmuje m.in. takie wynagrodzenie jak: testament - 50 zł, odwołanie testamentu - 30 zł , pełnomocnictwo od 30 - 100 zł, oświadczenie o przyjęciu lub odrzuceniu spadku - 50 zł, zwolnienie nieruchomości od obciążenia lub zrzeczenie się prawa - 60 zł, poświadczenie pozostawania przy życiu w celu otrzymania emerytury lub renty lub innych świadczeń z ubezpieczenia społecznego - 5 zł, przy czym w roku wydania rozporządzenia tj. 2004 minimalne wynagrodzenie za pracę wynosiło 824 zł, a w 2024 roku wynosi 4300 zł.</w:t>
            </w:r>
          </w:p>
        </w:tc>
        <w:tc>
          <w:tcPr>
            <w:tcW w:w="4160" w:type="dxa"/>
          </w:tcPr>
          <w:p w14:paraId="3D863820" w14:textId="77777777" w:rsidR="00A411CB" w:rsidRPr="00AE21CB" w:rsidRDefault="00A411CB" w:rsidP="00A411CB">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1D0AF80C" w14:textId="4BE5E6E0" w:rsidR="006E555C" w:rsidRDefault="006E555C" w:rsidP="005A57D8">
            <w:pPr>
              <w:spacing w:before="120" w:after="120"/>
              <w:jc w:val="both"/>
              <w:rPr>
                <w:rFonts w:ascii="Times New Roman" w:hAnsi="Times New Roman" w:cs="Times New Roman"/>
                <w:sz w:val="20"/>
                <w:highlight w:val="yellow"/>
              </w:rPr>
            </w:pPr>
            <w:r>
              <w:rPr>
                <w:rFonts w:ascii="Times New Roman" w:hAnsi="Times New Roman" w:cs="Times New Roman"/>
                <w:sz w:val="20"/>
              </w:rPr>
              <w:t>We wstępie należy podkreślić, że p</w:t>
            </w:r>
            <w:r w:rsidRPr="006E555C">
              <w:rPr>
                <w:rFonts w:ascii="Times New Roman" w:hAnsi="Times New Roman" w:cs="Times New Roman"/>
                <w:sz w:val="20"/>
              </w:rPr>
              <w:t>rojekt ustawy nie zawiera propozycji nałożenia na notariuszy obowiązku dokonania nowej czynności, ale jedynie rozszerzenia zakresu danych sprawozdawanych w ramach już obecnie wykonywanej czynności. Rozszerzenie to</w:t>
            </w:r>
            <w:r>
              <w:rPr>
                <w:rFonts w:ascii="Times New Roman" w:hAnsi="Times New Roman" w:cs="Times New Roman"/>
                <w:sz w:val="20"/>
              </w:rPr>
              <w:t> </w:t>
            </w:r>
            <w:r w:rsidRPr="006E555C">
              <w:rPr>
                <w:rFonts w:ascii="Times New Roman" w:hAnsi="Times New Roman" w:cs="Times New Roman"/>
                <w:sz w:val="20"/>
              </w:rPr>
              <w:t>obejmuje jedynie 5 kategorii danych</w:t>
            </w:r>
            <w:r w:rsidR="00602E06" w:rsidRPr="00602E06">
              <w:rPr>
                <w:rFonts w:ascii="Times New Roman" w:hAnsi="Times New Roman" w:cs="Times New Roman"/>
                <w:sz w:val="20"/>
              </w:rPr>
              <w:t>, łatwych do identyfikacji w ramach sporządzanego aktu notarialnego</w:t>
            </w:r>
            <w:r w:rsidRPr="006E555C">
              <w:rPr>
                <w:rFonts w:ascii="Times New Roman" w:hAnsi="Times New Roman" w:cs="Times New Roman"/>
                <w:sz w:val="20"/>
              </w:rPr>
              <w:t>, co</w:t>
            </w:r>
            <w:r>
              <w:rPr>
                <w:rFonts w:ascii="Times New Roman" w:hAnsi="Times New Roman" w:cs="Times New Roman"/>
                <w:sz w:val="20"/>
              </w:rPr>
              <w:t> </w:t>
            </w:r>
            <w:r w:rsidRPr="006E555C">
              <w:rPr>
                <w:rFonts w:ascii="Times New Roman" w:hAnsi="Times New Roman" w:cs="Times New Roman"/>
                <w:sz w:val="20"/>
              </w:rPr>
              <w:t>stanowi relatywnie niewielki procent informacji przekazywanych przez notariuszy KAS.</w:t>
            </w:r>
            <w:r w:rsidR="00977F69">
              <w:rPr>
                <w:rFonts w:ascii="Times New Roman" w:hAnsi="Times New Roman" w:cs="Times New Roman"/>
                <w:sz w:val="20"/>
              </w:rPr>
              <w:t xml:space="preserve"> Dodatkowo, nie dla każdej transakcji wszystkie te dane będą wprowadzane (odmienne informacje dotyczą domów jednorodzinnych i lokali mieszkalnych).</w:t>
            </w:r>
          </w:p>
          <w:p w14:paraId="5A6CE46F" w14:textId="0F5AE050" w:rsidR="00B37B1E" w:rsidRDefault="00B37B1E" w:rsidP="00B37B1E">
            <w:pPr>
              <w:spacing w:before="120" w:after="120"/>
              <w:jc w:val="both"/>
              <w:rPr>
                <w:rFonts w:ascii="Times New Roman" w:hAnsi="Times New Roman" w:cs="Times New Roman"/>
                <w:sz w:val="20"/>
              </w:rPr>
            </w:pPr>
            <w:r>
              <w:rPr>
                <w:rFonts w:ascii="Times New Roman" w:hAnsi="Times New Roman" w:cs="Times New Roman"/>
                <w:sz w:val="20"/>
              </w:rPr>
              <w:t xml:space="preserve">Podobne jak </w:t>
            </w:r>
            <w:proofErr w:type="spellStart"/>
            <w:r>
              <w:rPr>
                <w:rFonts w:ascii="Times New Roman" w:hAnsi="Times New Roman" w:cs="Times New Roman"/>
                <w:sz w:val="20"/>
              </w:rPr>
              <w:t>MRiT</w:t>
            </w:r>
            <w:proofErr w:type="spellEnd"/>
            <w:r>
              <w:rPr>
                <w:rFonts w:ascii="Times New Roman" w:hAnsi="Times New Roman" w:cs="Times New Roman"/>
                <w:sz w:val="20"/>
              </w:rPr>
              <w:t xml:space="preserve"> stanowisko do przedmiotowej uwagi w toku analizy zastrzeżeń notariuszy wyraził Minister Sprawiedliwości. W </w:t>
            </w:r>
            <w:r w:rsidR="006E555C" w:rsidRPr="00B37B1E">
              <w:rPr>
                <w:rFonts w:ascii="Times New Roman" w:hAnsi="Times New Roman" w:cs="Times New Roman"/>
                <w:sz w:val="20"/>
              </w:rPr>
              <w:t xml:space="preserve">opinii przekazanej przez </w:t>
            </w:r>
            <w:r>
              <w:rPr>
                <w:rFonts w:ascii="Times New Roman" w:hAnsi="Times New Roman" w:cs="Times New Roman"/>
                <w:sz w:val="20"/>
              </w:rPr>
              <w:t>MS 29 października 2024 r.</w:t>
            </w:r>
            <w:r w:rsidR="006E555C" w:rsidRPr="00B37B1E">
              <w:rPr>
                <w:rFonts w:ascii="Times New Roman" w:hAnsi="Times New Roman" w:cs="Times New Roman"/>
                <w:sz w:val="20"/>
              </w:rPr>
              <w:t xml:space="preserve"> </w:t>
            </w:r>
            <w:r>
              <w:rPr>
                <w:rFonts w:ascii="Times New Roman" w:hAnsi="Times New Roman" w:cs="Times New Roman"/>
                <w:sz w:val="20"/>
              </w:rPr>
              <w:t>wskazano</w:t>
            </w:r>
            <w:r w:rsidR="006E555C" w:rsidRPr="00B37B1E">
              <w:rPr>
                <w:rFonts w:ascii="Times New Roman" w:hAnsi="Times New Roman" w:cs="Times New Roman"/>
                <w:sz w:val="20"/>
              </w:rPr>
              <w:t>, że „</w:t>
            </w:r>
            <w:r w:rsidRPr="00B37B1E">
              <w:rPr>
                <w:rFonts w:ascii="Times New Roman" w:hAnsi="Times New Roman" w:cs="Times New Roman"/>
                <w:sz w:val="20"/>
              </w:rPr>
              <w:t>projektowane przepisy nie wprowadzają nowych rodzajów czynności notarialnych,</w:t>
            </w:r>
            <w:r>
              <w:rPr>
                <w:rFonts w:ascii="Times New Roman" w:hAnsi="Times New Roman" w:cs="Times New Roman"/>
                <w:sz w:val="20"/>
              </w:rPr>
              <w:t xml:space="preserve"> </w:t>
            </w:r>
            <w:r w:rsidRPr="00B37B1E">
              <w:rPr>
                <w:rFonts w:ascii="Times New Roman" w:hAnsi="Times New Roman" w:cs="Times New Roman"/>
                <w:sz w:val="20"/>
              </w:rPr>
              <w:t xml:space="preserve">które czyniłyby niezbędnym </w:t>
            </w:r>
            <w:r w:rsidRPr="00B37B1E">
              <w:rPr>
                <w:rFonts w:ascii="Times New Roman" w:hAnsi="Times New Roman" w:cs="Times New Roman"/>
                <w:sz w:val="20"/>
              </w:rPr>
              <w:lastRenderedPageBreak/>
              <w:t>dostosowanie do nich przepisów rozporządzenia</w:t>
            </w:r>
            <w:r>
              <w:rPr>
                <w:rFonts w:ascii="Times New Roman" w:hAnsi="Times New Roman" w:cs="Times New Roman"/>
                <w:sz w:val="20"/>
              </w:rPr>
              <w:t xml:space="preserve"> </w:t>
            </w:r>
            <w:r w:rsidRPr="00B37B1E">
              <w:rPr>
                <w:rFonts w:ascii="Times New Roman" w:hAnsi="Times New Roman" w:cs="Times New Roman"/>
                <w:i/>
                <w:iCs/>
                <w:sz w:val="20"/>
              </w:rPr>
              <w:t>[tj. rozporządzenia Ministra Sprawiedliwości z</w:t>
            </w:r>
            <w:r>
              <w:rPr>
                <w:rFonts w:ascii="Times New Roman" w:hAnsi="Times New Roman" w:cs="Times New Roman"/>
                <w:i/>
                <w:iCs/>
                <w:sz w:val="20"/>
              </w:rPr>
              <w:t> </w:t>
            </w:r>
            <w:r w:rsidRPr="00B37B1E">
              <w:rPr>
                <w:rFonts w:ascii="Times New Roman" w:hAnsi="Times New Roman" w:cs="Times New Roman"/>
                <w:i/>
                <w:iCs/>
                <w:sz w:val="20"/>
              </w:rPr>
              <w:t xml:space="preserve">dnia 28 czerwca 2004 r. w sprawie maksymalnych stawek taksy notarialnej – przyp. </w:t>
            </w:r>
            <w:proofErr w:type="spellStart"/>
            <w:r w:rsidRPr="00B37B1E">
              <w:rPr>
                <w:rFonts w:ascii="Times New Roman" w:hAnsi="Times New Roman" w:cs="Times New Roman"/>
                <w:i/>
                <w:iCs/>
                <w:sz w:val="20"/>
              </w:rPr>
              <w:t>MRiT</w:t>
            </w:r>
            <w:proofErr w:type="spellEnd"/>
            <w:r w:rsidRPr="00B37B1E">
              <w:rPr>
                <w:rFonts w:ascii="Times New Roman" w:hAnsi="Times New Roman" w:cs="Times New Roman"/>
                <w:i/>
                <w:iCs/>
                <w:sz w:val="20"/>
              </w:rPr>
              <w:t>]</w:t>
            </w:r>
            <w:r>
              <w:rPr>
                <w:rFonts w:ascii="Times New Roman" w:hAnsi="Times New Roman" w:cs="Times New Roman"/>
                <w:sz w:val="20"/>
              </w:rPr>
              <w:t xml:space="preserve"> </w:t>
            </w:r>
            <w:r w:rsidRPr="00B37B1E">
              <w:rPr>
                <w:rFonts w:ascii="Times New Roman" w:hAnsi="Times New Roman" w:cs="Times New Roman"/>
                <w:sz w:val="20"/>
              </w:rPr>
              <w:t>jeszcze</w:t>
            </w:r>
            <w:r>
              <w:rPr>
                <w:rFonts w:ascii="Times New Roman" w:hAnsi="Times New Roman" w:cs="Times New Roman"/>
                <w:sz w:val="20"/>
              </w:rPr>
              <w:t xml:space="preserve"> </w:t>
            </w:r>
            <w:r w:rsidRPr="00B37B1E">
              <w:rPr>
                <w:rFonts w:ascii="Times New Roman" w:hAnsi="Times New Roman" w:cs="Times New Roman"/>
                <w:sz w:val="20"/>
              </w:rPr>
              <w:t>przed ich wejściem w życie. Opiniujący nie przedstawili również żadnych konkretnych</w:t>
            </w:r>
            <w:r>
              <w:rPr>
                <w:rFonts w:ascii="Times New Roman" w:hAnsi="Times New Roman" w:cs="Times New Roman"/>
                <w:sz w:val="20"/>
              </w:rPr>
              <w:t xml:space="preserve"> </w:t>
            </w:r>
            <w:r w:rsidRPr="00B37B1E">
              <w:rPr>
                <w:rFonts w:ascii="Times New Roman" w:hAnsi="Times New Roman" w:cs="Times New Roman"/>
                <w:sz w:val="20"/>
              </w:rPr>
              <w:t>propozycji odnośnie do wartości czy też metodologii tej waloryzacji.</w:t>
            </w:r>
            <w:r>
              <w:rPr>
                <w:rFonts w:ascii="Times New Roman" w:hAnsi="Times New Roman" w:cs="Times New Roman"/>
                <w:sz w:val="20"/>
              </w:rPr>
              <w:t xml:space="preserve"> </w:t>
            </w:r>
          </w:p>
          <w:p w14:paraId="5A513D80" w14:textId="648A406D" w:rsidR="00C11D12" w:rsidRPr="005D7262" w:rsidRDefault="00B37B1E" w:rsidP="005A57D8">
            <w:pPr>
              <w:spacing w:before="120" w:after="120"/>
              <w:jc w:val="both"/>
              <w:rPr>
                <w:rFonts w:ascii="Times New Roman" w:hAnsi="Times New Roman" w:cs="Times New Roman"/>
                <w:sz w:val="20"/>
              </w:rPr>
            </w:pPr>
            <w:r w:rsidRPr="00B37B1E">
              <w:rPr>
                <w:rFonts w:ascii="Times New Roman" w:hAnsi="Times New Roman" w:cs="Times New Roman"/>
                <w:sz w:val="20"/>
              </w:rPr>
              <w:t>Jednocześnie zarówno zagadnienie wzrostu obciążeń notariuszy o</w:t>
            </w:r>
            <w:r>
              <w:rPr>
                <w:rFonts w:ascii="Times New Roman" w:hAnsi="Times New Roman" w:cs="Times New Roman"/>
                <w:sz w:val="20"/>
              </w:rPr>
              <w:t xml:space="preserve"> </w:t>
            </w:r>
            <w:r w:rsidRPr="00B37B1E">
              <w:rPr>
                <w:rFonts w:ascii="Times New Roman" w:hAnsi="Times New Roman" w:cs="Times New Roman"/>
                <w:sz w:val="20"/>
              </w:rPr>
              <w:t>charakterze</w:t>
            </w:r>
            <w:r>
              <w:rPr>
                <w:rFonts w:ascii="Times New Roman" w:hAnsi="Times New Roman" w:cs="Times New Roman"/>
                <w:sz w:val="20"/>
              </w:rPr>
              <w:t xml:space="preserve"> </w:t>
            </w:r>
            <w:r w:rsidR="00507775">
              <w:rPr>
                <w:rFonts w:ascii="Times New Roman" w:hAnsi="Times New Roman" w:cs="Times New Roman"/>
                <w:sz w:val="20"/>
              </w:rPr>
              <w:t>&gt;&gt;</w:t>
            </w:r>
            <w:r w:rsidRPr="00B37B1E">
              <w:rPr>
                <w:rFonts w:ascii="Times New Roman" w:hAnsi="Times New Roman" w:cs="Times New Roman"/>
                <w:sz w:val="20"/>
              </w:rPr>
              <w:t>sprawozdawczo-notyfikacyjnym</w:t>
            </w:r>
            <w:r w:rsidR="00507775">
              <w:rPr>
                <w:rFonts w:ascii="Times New Roman" w:hAnsi="Times New Roman" w:cs="Times New Roman"/>
                <w:sz w:val="20"/>
              </w:rPr>
              <w:t>&lt;&lt;</w:t>
            </w:r>
            <w:r w:rsidRPr="00B37B1E">
              <w:rPr>
                <w:rFonts w:ascii="Times New Roman" w:hAnsi="Times New Roman" w:cs="Times New Roman"/>
                <w:sz w:val="20"/>
              </w:rPr>
              <w:t>, jak też zgłaszanych przez organy samorządu</w:t>
            </w:r>
            <w:r>
              <w:rPr>
                <w:rFonts w:ascii="Times New Roman" w:hAnsi="Times New Roman" w:cs="Times New Roman"/>
                <w:sz w:val="20"/>
              </w:rPr>
              <w:t xml:space="preserve"> </w:t>
            </w:r>
            <w:r w:rsidRPr="00B37B1E">
              <w:rPr>
                <w:rFonts w:ascii="Times New Roman" w:hAnsi="Times New Roman" w:cs="Times New Roman"/>
                <w:sz w:val="20"/>
              </w:rPr>
              <w:t>notarialnego postulatów konieczności aktualizacji maksymalnych stawek taksy notarialnej</w:t>
            </w:r>
            <w:r>
              <w:rPr>
                <w:rFonts w:ascii="Times New Roman" w:hAnsi="Times New Roman" w:cs="Times New Roman"/>
                <w:sz w:val="20"/>
              </w:rPr>
              <w:t xml:space="preserve"> </w:t>
            </w:r>
            <w:r w:rsidRPr="00B37B1E">
              <w:rPr>
                <w:rFonts w:ascii="Times New Roman" w:hAnsi="Times New Roman" w:cs="Times New Roman"/>
                <w:sz w:val="20"/>
              </w:rPr>
              <w:t>jest znana resortowi sprawiedliwości. Podkreślić należy, że wszczęcie prac w tym zakresie</w:t>
            </w:r>
            <w:r>
              <w:rPr>
                <w:rFonts w:ascii="Times New Roman" w:hAnsi="Times New Roman" w:cs="Times New Roman"/>
                <w:sz w:val="20"/>
              </w:rPr>
              <w:t xml:space="preserve"> </w:t>
            </w:r>
            <w:r w:rsidRPr="00B37B1E">
              <w:rPr>
                <w:rFonts w:ascii="Times New Roman" w:hAnsi="Times New Roman" w:cs="Times New Roman"/>
                <w:sz w:val="20"/>
              </w:rPr>
              <w:t>wymaga kierunkowej decyzji, w</w:t>
            </w:r>
            <w:r w:rsidR="00790321">
              <w:rPr>
                <w:rFonts w:ascii="Times New Roman" w:hAnsi="Times New Roman" w:cs="Times New Roman"/>
                <w:sz w:val="20"/>
              </w:rPr>
              <w:t> </w:t>
            </w:r>
            <w:r w:rsidRPr="00B37B1E">
              <w:rPr>
                <w:rFonts w:ascii="Times New Roman" w:hAnsi="Times New Roman" w:cs="Times New Roman"/>
                <w:sz w:val="20"/>
              </w:rPr>
              <w:t>szczególności w świetle okoliczności, że podobne</w:t>
            </w:r>
            <w:r w:rsidR="00790321">
              <w:rPr>
                <w:rFonts w:ascii="Times New Roman" w:hAnsi="Times New Roman" w:cs="Times New Roman"/>
                <w:sz w:val="20"/>
              </w:rPr>
              <w:t xml:space="preserve"> </w:t>
            </w:r>
            <w:r w:rsidRPr="00B37B1E">
              <w:rPr>
                <w:rFonts w:ascii="Times New Roman" w:hAnsi="Times New Roman" w:cs="Times New Roman"/>
                <w:sz w:val="20"/>
              </w:rPr>
              <w:t>postulaty można sformułować również odnośnie do stawek urzędowych wynagrodzeń</w:t>
            </w:r>
            <w:r w:rsidR="00790321">
              <w:rPr>
                <w:rFonts w:ascii="Times New Roman" w:hAnsi="Times New Roman" w:cs="Times New Roman"/>
                <w:sz w:val="20"/>
              </w:rPr>
              <w:t xml:space="preserve"> </w:t>
            </w:r>
            <w:r w:rsidRPr="00B37B1E">
              <w:rPr>
                <w:rFonts w:ascii="Times New Roman" w:hAnsi="Times New Roman" w:cs="Times New Roman"/>
                <w:sz w:val="20"/>
              </w:rPr>
              <w:t>obowiązujących przedstawicieli innych zawodów prawniczych, jak też aktualnych opłat</w:t>
            </w:r>
            <w:r w:rsidR="00790321">
              <w:rPr>
                <w:rFonts w:ascii="Times New Roman" w:hAnsi="Times New Roman" w:cs="Times New Roman"/>
                <w:sz w:val="20"/>
              </w:rPr>
              <w:t xml:space="preserve"> </w:t>
            </w:r>
            <w:r w:rsidRPr="00B37B1E">
              <w:rPr>
                <w:rFonts w:ascii="Times New Roman" w:hAnsi="Times New Roman" w:cs="Times New Roman"/>
                <w:sz w:val="20"/>
              </w:rPr>
              <w:t>sądowych. W tym kontekście nie wydaje się zasadne uzależnianie dopuszczalności</w:t>
            </w:r>
            <w:r w:rsidR="00790321">
              <w:rPr>
                <w:rFonts w:ascii="Times New Roman" w:hAnsi="Times New Roman" w:cs="Times New Roman"/>
                <w:sz w:val="20"/>
              </w:rPr>
              <w:t xml:space="preserve"> </w:t>
            </w:r>
            <w:r w:rsidRPr="00B37B1E">
              <w:rPr>
                <w:rFonts w:ascii="Times New Roman" w:hAnsi="Times New Roman" w:cs="Times New Roman"/>
                <w:sz w:val="20"/>
              </w:rPr>
              <w:t>wprowadzenia projektowanych zmian od waloryzacji taksy notarialnej. W tej sytuacji</w:t>
            </w:r>
            <w:r w:rsidR="00790321">
              <w:rPr>
                <w:rFonts w:ascii="Times New Roman" w:hAnsi="Times New Roman" w:cs="Times New Roman"/>
                <w:sz w:val="20"/>
              </w:rPr>
              <w:t xml:space="preserve"> </w:t>
            </w:r>
            <w:r w:rsidRPr="00B37B1E">
              <w:rPr>
                <w:rFonts w:ascii="Times New Roman" w:hAnsi="Times New Roman" w:cs="Times New Roman"/>
                <w:sz w:val="20"/>
              </w:rPr>
              <w:t>należy tylko zasygnalizować, że przedmiotowe kwestie mają charakter wielowymiarowy</w:t>
            </w:r>
            <w:r w:rsidR="00790321">
              <w:rPr>
                <w:rFonts w:ascii="Times New Roman" w:hAnsi="Times New Roman" w:cs="Times New Roman"/>
                <w:sz w:val="20"/>
              </w:rPr>
              <w:t xml:space="preserve"> </w:t>
            </w:r>
            <w:r w:rsidRPr="00B37B1E">
              <w:rPr>
                <w:rFonts w:ascii="Times New Roman" w:hAnsi="Times New Roman" w:cs="Times New Roman"/>
                <w:sz w:val="20"/>
              </w:rPr>
              <w:t>i wymagają rozwiązań systemowych. Wzrostowi obciążeń „sprawozdawczo</w:t>
            </w:r>
            <w:r w:rsidR="00790321">
              <w:rPr>
                <w:rFonts w:ascii="Times New Roman" w:hAnsi="Times New Roman" w:cs="Times New Roman"/>
                <w:sz w:val="20"/>
              </w:rPr>
              <w:t>-</w:t>
            </w:r>
            <w:r w:rsidRPr="00B37B1E">
              <w:rPr>
                <w:rFonts w:ascii="Times New Roman" w:hAnsi="Times New Roman" w:cs="Times New Roman"/>
                <w:sz w:val="20"/>
              </w:rPr>
              <w:t>notyfikacyjnych” notariuszy towarzyszy bowiem postępująca informatyzacja organów</w:t>
            </w:r>
            <w:r w:rsidR="00790321">
              <w:rPr>
                <w:rFonts w:ascii="Times New Roman" w:hAnsi="Times New Roman" w:cs="Times New Roman"/>
                <w:sz w:val="20"/>
              </w:rPr>
              <w:t xml:space="preserve"> </w:t>
            </w:r>
            <w:r w:rsidRPr="00B37B1E">
              <w:rPr>
                <w:rFonts w:ascii="Times New Roman" w:hAnsi="Times New Roman" w:cs="Times New Roman"/>
                <w:sz w:val="20"/>
              </w:rPr>
              <w:t>administracji publicznej oraz sposobu prowadzenia kancelarii notarialnych, która winna</w:t>
            </w:r>
            <w:r w:rsidR="00790321">
              <w:rPr>
                <w:rFonts w:ascii="Times New Roman" w:hAnsi="Times New Roman" w:cs="Times New Roman"/>
                <w:sz w:val="20"/>
              </w:rPr>
              <w:t xml:space="preserve"> </w:t>
            </w:r>
            <w:r w:rsidRPr="00B37B1E">
              <w:rPr>
                <w:rFonts w:ascii="Times New Roman" w:hAnsi="Times New Roman" w:cs="Times New Roman"/>
                <w:sz w:val="20"/>
              </w:rPr>
              <w:t>prowadzić do zwiększenia ergonomii ich wykonywania. Podobnie realnemu spadkowi</w:t>
            </w:r>
            <w:r w:rsidR="00790321">
              <w:rPr>
                <w:rFonts w:ascii="Times New Roman" w:hAnsi="Times New Roman" w:cs="Times New Roman"/>
                <w:sz w:val="20"/>
              </w:rPr>
              <w:t xml:space="preserve"> </w:t>
            </w:r>
            <w:r w:rsidRPr="00B37B1E">
              <w:rPr>
                <w:rFonts w:ascii="Times New Roman" w:hAnsi="Times New Roman" w:cs="Times New Roman"/>
                <w:sz w:val="20"/>
              </w:rPr>
              <w:t>wartości stawek taksy notarialnej towarzyszy jednoczesny wzrost cen transakcyjnych</w:t>
            </w:r>
            <w:r w:rsidR="00790321">
              <w:rPr>
                <w:rFonts w:ascii="Times New Roman" w:hAnsi="Times New Roman" w:cs="Times New Roman"/>
                <w:sz w:val="20"/>
              </w:rPr>
              <w:t xml:space="preserve"> </w:t>
            </w:r>
            <w:r w:rsidRPr="00B37B1E">
              <w:rPr>
                <w:rFonts w:ascii="Times New Roman" w:hAnsi="Times New Roman" w:cs="Times New Roman"/>
                <w:sz w:val="20"/>
              </w:rPr>
              <w:t>w obrocie nieruchomościami, co prowadzi do</w:t>
            </w:r>
            <w:r w:rsidR="00790321">
              <w:rPr>
                <w:rFonts w:ascii="Times New Roman" w:hAnsi="Times New Roman" w:cs="Times New Roman"/>
                <w:sz w:val="20"/>
              </w:rPr>
              <w:t> </w:t>
            </w:r>
            <w:r w:rsidRPr="00B37B1E">
              <w:rPr>
                <w:rFonts w:ascii="Times New Roman" w:hAnsi="Times New Roman" w:cs="Times New Roman"/>
                <w:sz w:val="20"/>
              </w:rPr>
              <w:t>odpowiedniego wzrostu stawek</w:t>
            </w:r>
            <w:r w:rsidR="00790321">
              <w:rPr>
                <w:rFonts w:ascii="Times New Roman" w:hAnsi="Times New Roman" w:cs="Times New Roman"/>
                <w:sz w:val="20"/>
              </w:rPr>
              <w:t xml:space="preserve"> </w:t>
            </w:r>
            <w:r w:rsidRPr="00B37B1E">
              <w:rPr>
                <w:rFonts w:ascii="Times New Roman" w:hAnsi="Times New Roman" w:cs="Times New Roman"/>
                <w:sz w:val="20"/>
              </w:rPr>
              <w:t xml:space="preserve">pobieranych </w:t>
            </w:r>
            <w:r w:rsidRPr="00B37B1E">
              <w:rPr>
                <w:rFonts w:ascii="Times New Roman" w:hAnsi="Times New Roman" w:cs="Times New Roman"/>
                <w:sz w:val="20"/>
              </w:rPr>
              <w:lastRenderedPageBreak/>
              <w:t>przez notariuszy oraz wprowadzenie nowych rodzajów czynności</w:t>
            </w:r>
            <w:r w:rsidR="00790321">
              <w:rPr>
                <w:rFonts w:ascii="Times New Roman" w:hAnsi="Times New Roman" w:cs="Times New Roman"/>
                <w:sz w:val="20"/>
              </w:rPr>
              <w:t xml:space="preserve"> </w:t>
            </w:r>
            <w:r w:rsidRPr="00B37B1E">
              <w:rPr>
                <w:rFonts w:ascii="Times New Roman" w:hAnsi="Times New Roman" w:cs="Times New Roman"/>
                <w:sz w:val="20"/>
              </w:rPr>
              <w:t>notarialnych rozszerzających zakres świadczonych przez nich usług. Warunki</w:t>
            </w:r>
            <w:r w:rsidR="00790321">
              <w:rPr>
                <w:rFonts w:ascii="Times New Roman" w:hAnsi="Times New Roman" w:cs="Times New Roman"/>
                <w:sz w:val="20"/>
              </w:rPr>
              <w:t xml:space="preserve"> </w:t>
            </w:r>
            <w:r w:rsidRPr="00B37B1E">
              <w:rPr>
                <w:rFonts w:ascii="Times New Roman" w:hAnsi="Times New Roman" w:cs="Times New Roman"/>
                <w:sz w:val="20"/>
              </w:rPr>
              <w:t>wykonywania zawodu notariusza należy uznać również za wciąż znajdujące się na</w:t>
            </w:r>
            <w:r w:rsidR="00790321">
              <w:rPr>
                <w:rFonts w:ascii="Times New Roman" w:hAnsi="Times New Roman" w:cs="Times New Roman"/>
                <w:sz w:val="20"/>
              </w:rPr>
              <w:t xml:space="preserve"> </w:t>
            </w:r>
            <w:r w:rsidRPr="00B37B1E">
              <w:rPr>
                <w:rFonts w:ascii="Times New Roman" w:hAnsi="Times New Roman" w:cs="Times New Roman"/>
                <w:sz w:val="20"/>
              </w:rPr>
              <w:t>atrakcyjnym poziomie, o czym świadczy stały wzrost osób wykonujących ten zawód</w:t>
            </w:r>
            <w:r w:rsidR="00790321">
              <w:rPr>
                <w:rFonts w:ascii="Times New Roman" w:hAnsi="Times New Roman" w:cs="Times New Roman"/>
                <w:sz w:val="20"/>
              </w:rPr>
              <w:t>”</w:t>
            </w:r>
            <w:r w:rsidR="0064362A">
              <w:rPr>
                <w:rFonts w:ascii="Times New Roman" w:hAnsi="Times New Roman" w:cs="Times New Roman"/>
                <w:sz w:val="20"/>
              </w:rPr>
              <w:t>.</w:t>
            </w:r>
          </w:p>
        </w:tc>
      </w:tr>
      <w:tr w:rsidR="00BB39FE" w:rsidRPr="00FF4480" w14:paraId="781AC5BF" w14:textId="77777777" w:rsidTr="00E9565F">
        <w:trPr>
          <w:jc w:val="center"/>
        </w:trPr>
        <w:tc>
          <w:tcPr>
            <w:tcW w:w="554" w:type="dxa"/>
          </w:tcPr>
          <w:p w14:paraId="2BB70317" w14:textId="77777777" w:rsidR="00BB39FE" w:rsidRPr="00FF4480" w:rsidRDefault="00BB39FE"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26FE5EC7" w14:textId="413185AF" w:rsidR="00BB39FE" w:rsidRPr="00B1299D" w:rsidRDefault="00BB39FE" w:rsidP="005A57D8">
            <w:pPr>
              <w:spacing w:before="120" w:after="120"/>
              <w:rPr>
                <w:rFonts w:ascii="Times New Roman" w:hAnsi="Times New Roman" w:cs="Times New Roman"/>
                <w:sz w:val="20"/>
              </w:rPr>
            </w:pPr>
            <w:r>
              <w:rPr>
                <w:rFonts w:ascii="Times New Roman" w:hAnsi="Times New Roman" w:cs="Times New Roman"/>
                <w:sz w:val="20"/>
              </w:rPr>
              <w:t>Unia Spółdzielców Mieszkaniowych w Polsce</w:t>
            </w:r>
          </w:p>
        </w:tc>
        <w:tc>
          <w:tcPr>
            <w:tcW w:w="1905" w:type="dxa"/>
            <w:vAlign w:val="center"/>
          </w:tcPr>
          <w:p w14:paraId="0786AE78" w14:textId="23E24F6F" w:rsidR="00BB39FE" w:rsidRDefault="00BB39FE"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2C0B07F8" w14:textId="77777777" w:rsidR="00BB39FE" w:rsidRDefault="00BB39FE" w:rsidP="00B1299D">
            <w:pPr>
              <w:spacing w:before="120" w:after="120"/>
              <w:jc w:val="both"/>
              <w:rPr>
                <w:rFonts w:ascii="Times New Roman" w:hAnsi="Times New Roman" w:cs="Times New Roman"/>
                <w:sz w:val="20"/>
              </w:rPr>
            </w:pPr>
            <w:r w:rsidRPr="00BB39FE">
              <w:rPr>
                <w:rFonts w:ascii="Times New Roman" w:hAnsi="Times New Roman" w:cs="Times New Roman"/>
                <w:sz w:val="20"/>
              </w:rPr>
              <w:t>Pomysł nowelizacji należy ocenić pozytywnie. W sprawach sądowych prowadzonych przez Kancelarię rzeczoznawcy majątkowi sporządzający wycenę na zlecenie Sądu wielokrotnie sygnalizowali, że nie mogą dokonać wyceny, gdyż nie posiadają informacji na temat transakcji. Przykładowo urzędy skarbowe, do których rzeczoznawcy majątkowi zwracali się o udostępnienie notarialnych umów sprzedaży lokali, odmawiały udostępnienia ze względu na brak interesu prawnego oraz ochronę danych osobowych. Zdarza się, że                         w takich przypadkach rzeczoznawcy majątkowi zwracają się do stron postępowania</w:t>
            </w:r>
            <w:r>
              <w:rPr>
                <w:rFonts w:ascii="Times New Roman" w:hAnsi="Times New Roman" w:cs="Times New Roman"/>
                <w:sz w:val="20"/>
              </w:rPr>
              <w:t xml:space="preserve"> </w:t>
            </w:r>
            <w:r w:rsidRPr="00BB39FE">
              <w:rPr>
                <w:rFonts w:ascii="Times New Roman" w:hAnsi="Times New Roman" w:cs="Times New Roman"/>
                <w:sz w:val="20"/>
              </w:rPr>
              <w:t>(w szczególności, gdy taką stroną jest spółdzielnia mieszkaniowa) o udostępnienie aktów notarialnych. Projekt ustawy wychodzi naprzeciw potrzebom rzeczoznawców majątkowych. Publikowanie cen transakcyjnych lokali mieszkalnych i domów jednorodzinnych ułatwi i przyspieszy pracę rzeczoznawców majątkowych, co powinno przełożyć się na skrócenie postępowań sądowych. Projekt ten wychodzi także na przeciw potrzebom „zwykłych” obywateli, którzy chcąc sprzedać czy kupić lokal mieszkalny lub dom jednorodzinny będą mieli dostęp do rzetelnej informacji nt. cen transakcyjnych, co ułatwi i</w:t>
            </w:r>
            <w:r>
              <w:rPr>
                <w:rFonts w:ascii="Times New Roman" w:hAnsi="Times New Roman" w:cs="Times New Roman"/>
                <w:sz w:val="20"/>
              </w:rPr>
              <w:t> </w:t>
            </w:r>
            <w:r w:rsidRPr="00BB39FE">
              <w:rPr>
                <w:rFonts w:ascii="Times New Roman" w:hAnsi="Times New Roman" w:cs="Times New Roman"/>
                <w:sz w:val="20"/>
              </w:rPr>
              <w:t>przyśpieszy obrót nieruchomościami.</w:t>
            </w:r>
          </w:p>
          <w:p w14:paraId="174C896C" w14:textId="77777777" w:rsidR="00D854EB" w:rsidRPr="00D854EB" w:rsidRDefault="00D854EB" w:rsidP="00D854EB">
            <w:pPr>
              <w:spacing w:before="120" w:after="120"/>
              <w:jc w:val="both"/>
              <w:rPr>
                <w:rFonts w:ascii="Times New Roman" w:hAnsi="Times New Roman" w:cs="Times New Roman"/>
                <w:sz w:val="20"/>
              </w:rPr>
            </w:pPr>
            <w:r w:rsidRPr="00D854EB">
              <w:rPr>
                <w:rFonts w:ascii="Times New Roman" w:hAnsi="Times New Roman" w:cs="Times New Roman"/>
                <w:sz w:val="20"/>
              </w:rPr>
              <w:t xml:space="preserve">Równocześnie można jednak odnieść wrażenie, że Projektodawca nie potrafi należycie uzasadnić niektórych proponowanych rozwiązań. </w:t>
            </w:r>
          </w:p>
          <w:p w14:paraId="54DFF195" w14:textId="2302CE2D" w:rsidR="00D854EB" w:rsidRPr="00B1299D" w:rsidRDefault="00D854EB" w:rsidP="00D854EB">
            <w:pPr>
              <w:spacing w:before="120" w:after="120"/>
              <w:jc w:val="both"/>
              <w:rPr>
                <w:rFonts w:ascii="Times New Roman" w:hAnsi="Times New Roman" w:cs="Times New Roman"/>
                <w:sz w:val="20"/>
              </w:rPr>
            </w:pPr>
            <w:r w:rsidRPr="00D854EB">
              <w:rPr>
                <w:rFonts w:ascii="Times New Roman" w:hAnsi="Times New Roman" w:cs="Times New Roman"/>
                <w:sz w:val="20"/>
              </w:rPr>
              <w:t>Niezrozumiałe jest, dlaczego Ubezpieczeniowy Fundusz Gwarancyjny ma mieć obowiązek udostępniania informacji z Portalu DOM organom skarbowym i celno-skarbowym „w celu realizacji ustawowych zadań tych podmiotów w ramach prowadzenia polityki sprzyjającej zaspokojeniu potrzeb mieszkaniowych obywateli” (proponowany art. 56d ust.</w:t>
            </w:r>
            <w:r>
              <w:rPr>
                <w:rFonts w:ascii="Times New Roman" w:hAnsi="Times New Roman" w:cs="Times New Roman"/>
                <w:sz w:val="20"/>
              </w:rPr>
              <w:t xml:space="preserve"> </w:t>
            </w:r>
            <w:r w:rsidRPr="00D854EB">
              <w:rPr>
                <w:rFonts w:ascii="Times New Roman" w:hAnsi="Times New Roman" w:cs="Times New Roman"/>
                <w:sz w:val="20"/>
              </w:rPr>
              <w:t xml:space="preserve">1 in fine ustawy z dnia 20.05.2021 r. o ochronie nabywcy lokalu mieszkalnego lub domu jednorodzinnego). </w:t>
            </w:r>
            <w:r w:rsidRPr="00D854EB">
              <w:rPr>
                <w:rFonts w:ascii="Times New Roman" w:hAnsi="Times New Roman" w:cs="Times New Roman"/>
                <w:sz w:val="20"/>
              </w:rPr>
              <w:lastRenderedPageBreak/>
              <w:t>Organy skarbowe i celno-skarbowe nie zajmują się „polityką sprzyjającą zaspokojeniu potrzeb mieszkaniowych obywateli”. Nie wiadomo w jaki sposób dostęp organów skarbowych i celno-skarbowych miałby przyczynić się do lepszego zaspokojenia potrzeb mieszkaniowych obywateli. W tym zakresie rozwiązanie przyjęte przez Projektodawcę nie zostało uzasadnione i przesłanka „polityki mieszkaniowej” jest chybiona. Można odnieść wrażenie, że celem Projektu nie jest tylko stworzenie pewnego narzędzia wspomagającego obrót nieruchomości i tworzenie polityki mieszkaniowej. Projekt nadając nowe uprawnienia organom skarbowym i celno-skarbowych ma służyć także zapewne uszczelnieniu systemu podatkowego w zakresie obrotu nieruchomościami, tropieniu nadużyć w tym obrocie itd. Projektodawca jednak zamiast wprost wskazać, że Projekt służy uszczelnieniu systemu podatkowego czy ściganiu przestępstw karno-skarbowych, próbuje zrobić z organów skarbowych i celno-skarbowych jednostki zajmujące się rozwojem mieszkalnictwa. Taki sposób regulacji może budzić nieufność w stosunku do Projektodawcy, który „ukrywa” w Projekcie jego prawdziwy cel – ściślejszą kontrolę obywateli, podczas gdy sama idea Portalu DOM jest potrzebna i powinna jak najszybciej zostać wdrożona.</w:t>
            </w:r>
          </w:p>
        </w:tc>
        <w:tc>
          <w:tcPr>
            <w:tcW w:w="4160" w:type="dxa"/>
          </w:tcPr>
          <w:p w14:paraId="392EC90D" w14:textId="77777777" w:rsidR="009F35D8" w:rsidRPr="00AE21CB" w:rsidRDefault="009F35D8" w:rsidP="009F35D8">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260F6FA0" w14:textId="042423DE" w:rsidR="00F202D8" w:rsidRDefault="00406A65" w:rsidP="00F202D8">
            <w:pPr>
              <w:spacing w:before="120" w:after="120"/>
              <w:jc w:val="both"/>
              <w:rPr>
                <w:rFonts w:ascii="Times New Roman" w:hAnsi="Times New Roman" w:cs="Times New Roman"/>
                <w:sz w:val="20"/>
              </w:rPr>
            </w:pPr>
            <w:r w:rsidRPr="00406A65">
              <w:rPr>
                <w:rFonts w:ascii="Times New Roman" w:hAnsi="Times New Roman" w:cs="Times New Roman"/>
                <w:sz w:val="20"/>
              </w:rPr>
              <w:t>Brzmienie art. 56d ust. 1 ustawy zmienianej zostało wypracowane w toku dotychczasowych uzgodnień z organami uczestniczącymi w</w:t>
            </w:r>
            <w:r w:rsidR="00F202D8">
              <w:rPr>
                <w:rFonts w:ascii="Times New Roman" w:hAnsi="Times New Roman" w:cs="Times New Roman"/>
                <w:sz w:val="20"/>
              </w:rPr>
              <w:t> </w:t>
            </w:r>
            <w:r w:rsidRPr="00406A65">
              <w:rPr>
                <w:rFonts w:ascii="Times New Roman" w:hAnsi="Times New Roman" w:cs="Times New Roman"/>
                <w:sz w:val="20"/>
              </w:rPr>
              <w:t>procedurze uzgodnień międzyresortowych i</w:t>
            </w:r>
            <w:r w:rsidR="00F202D8">
              <w:rPr>
                <w:rFonts w:ascii="Times New Roman" w:hAnsi="Times New Roman" w:cs="Times New Roman"/>
                <w:sz w:val="20"/>
              </w:rPr>
              <w:t> </w:t>
            </w:r>
            <w:r w:rsidRPr="00406A65">
              <w:rPr>
                <w:rFonts w:ascii="Times New Roman" w:hAnsi="Times New Roman" w:cs="Times New Roman"/>
                <w:sz w:val="20"/>
              </w:rPr>
              <w:t>opiniowania (w tym uzgodnień w przedmiocie zapewnienia bezpieczeństwa przetwarzania danych osobowych w Portalu DOM i zgodności tego przetwarzania z przepisami RODO). Dostęp do danych statystycznych na wniosek został przyznany organom administracji skarbowej w</w:t>
            </w:r>
            <w:r w:rsidR="00F202D8">
              <w:rPr>
                <w:rFonts w:ascii="Times New Roman" w:hAnsi="Times New Roman" w:cs="Times New Roman"/>
                <w:sz w:val="20"/>
              </w:rPr>
              <w:t> </w:t>
            </w:r>
            <w:r w:rsidRPr="00406A65">
              <w:rPr>
                <w:rFonts w:ascii="Times New Roman" w:hAnsi="Times New Roman" w:cs="Times New Roman"/>
                <w:sz w:val="20"/>
              </w:rPr>
              <w:t xml:space="preserve">takim samym zakresie i na tych samych zasadach jak pozostałym uprawnionym podmiotom. </w:t>
            </w:r>
          </w:p>
          <w:p w14:paraId="58835387" w14:textId="659335C4" w:rsidR="00F202D8" w:rsidRDefault="002814E8" w:rsidP="00F202D8">
            <w:pPr>
              <w:spacing w:before="120" w:after="120"/>
              <w:jc w:val="both"/>
              <w:rPr>
                <w:rFonts w:ascii="Times New Roman" w:hAnsi="Times New Roman" w:cs="Times New Roman"/>
                <w:sz w:val="20"/>
              </w:rPr>
            </w:pPr>
            <w:r>
              <w:rPr>
                <w:rFonts w:ascii="Times New Roman" w:hAnsi="Times New Roman" w:cs="Times New Roman"/>
                <w:sz w:val="20"/>
              </w:rPr>
              <w:t>W przedmiotowym przepisie jest mowa nie tylko o zadaniach składających się na realizację polityki mieszkaniowej (a zatem o realizacji tej polityki), ale również o zadaniach, które przyczyniają się do tego, by realizowana polityka mieszkaniowa była adekwatną odpowiedzią na</w:t>
            </w:r>
            <w:r w:rsidR="0018335A">
              <w:rPr>
                <w:rFonts w:ascii="Times New Roman" w:hAnsi="Times New Roman" w:cs="Times New Roman"/>
                <w:sz w:val="20"/>
              </w:rPr>
              <w:t> </w:t>
            </w:r>
            <w:r>
              <w:rPr>
                <w:rFonts w:ascii="Times New Roman" w:hAnsi="Times New Roman" w:cs="Times New Roman"/>
                <w:sz w:val="20"/>
              </w:rPr>
              <w:t>nałożony na władze publiczne w tym zakresie obowiązek. W celu ograniczenia wątpliwości interpretacyjnych dokonano modyfikacji zapisu, by lepiej oddawał tę intencję.</w:t>
            </w:r>
          </w:p>
          <w:p w14:paraId="659979A9" w14:textId="288006C3" w:rsidR="002A3908" w:rsidRPr="003F480C" w:rsidRDefault="00D623C8" w:rsidP="00F202D8">
            <w:pPr>
              <w:spacing w:before="120" w:after="120"/>
              <w:jc w:val="both"/>
              <w:rPr>
                <w:rFonts w:ascii="Times New Roman" w:hAnsi="Times New Roman" w:cs="Times New Roman"/>
                <w:sz w:val="20"/>
              </w:rPr>
            </w:pPr>
            <w:r w:rsidRPr="003F480C">
              <w:rPr>
                <w:rFonts w:ascii="Times New Roman" w:hAnsi="Times New Roman" w:cs="Times New Roman"/>
                <w:sz w:val="20"/>
              </w:rPr>
              <w:t xml:space="preserve">Niezależnie od powyższego informacje o problemach pojawiających się w pracy rzeczoznawców majątkowych </w:t>
            </w:r>
            <w:r w:rsidR="002A3908" w:rsidRPr="003F480C">
              <w:rPr>
                <w:rFonts w:ascii="Times New Roman" w:hAnsi="Times New Roman" w:cs="Times New Roman"/>
                <w:sz w:val="20"/>
              </w:rPr>
              <w:t xml:space="preserve">są analizowane przez </w:t>
            </w:r>
            <w:proofErr w:type="spellStart"/>
            <w:r w:rsidR="002A3908" w:rsidRPr="003F480C">
              <w:rPr>
                <w:rFonts w:ascii="Times New Roman" w:hAnsi="Times New Roman" w:cs="Times New Roman"/>
                <w:sz w:val="20"/>
              </w:rPr>
              <w:t>MRiT</w:t>
            </w:r>
            <w:proofErr w:type="spellEnd"/>
            <w:r w:rsidR="002A3908" w:rsidRPr="003F480C">
              <w:rPr>
                <w:rFonts w:ascii="Times New Roman" w:hAnsi="Times New Roman" w:cs="Times New Roman"/>
                <w:sz w:val="20"/>
              </w:rPr>
              <w:t>. Ewentualne działania legislacyjne z</w:t>
            </w:r>
            <w:r w:rsidR="003F480C">
              <w:rPr>
                <w:rFonts w:ascii="Times New Roman" w:hAnsi="Times New Roman" w:cs="Times New Roman"/>
                <w:sz w:val="20"/>
              </w:rPr>
              <w:t> </w:t>
            </w:r>
            <w:r w:rsidR="002A3908" w:rsidRPr="003F480C">
              <w:rPr>
                <w:rFonts w:ascii="Times New Roman" w:hAnsi="Times New Roman" w:cs="Times New Roman"/>
                <w:sz w:val="20"/>
              </w:rPr>
              <w:t xml:space="preserve">tym związane nie mieszczą się jednak </w:t>
            </w:r>
            <w:r w:rsidR="002A3908" w:rsidRPr="003F480C">
              <w:rPr>
                <w:rFonts w:ascii="Times New Roman" w:hAnsi="Times New Roman" w:cs="Times New Roman"/>
                <w:sz w:val="20"/>
              </w:rPr>
              <w:lastRenderedPageBreak/>
              <w:t>w</w:t>
            </w:r>
            <w:r w:rsidR="003F480C">
              <w:rPr>
                <w:rFonts w:ascii="Times New Roman" w:hAnsi="Times New Roman" w:cs="Times New Roman"/>
                <w:sz w:val="20"/>
              </w:rPr>
              <w:t> </w:t>
            </w:r>
            <w:r w:rsidR="002A3908" w:rsidRPr="003F480C">
              <w:rPr>
                <w:rFonts w:ascii="Times New Roman" w:hAnsi="Times New Roman" w:cs="Times New Roman"/>
                <w:sz w:val="20"/>
              </w:rPr>
              <w:t>zakresie przedmiotowym przedstawionego projektu.</w:t>
            </w:r>
          </w:p>
          <w:p w14:paraId="2E43BF9D" w14:textId="19F070F0" w:rsidR="009F35D8" w:rsidRPr="005D7262" w:rsidRDefault="009F35D8" w:rsidP="00F202D8">
            <w:pPr>
              <w:spacing w:before="120" w:after="120"/>
              <w:jc w:val="both"/>
              <w:rPr>
                <w:rFonts w:ascii="Times New Roman" w:hAnsi="Times New Roman" w:cs="Times New Roman"/>
                <w:sz w:val="20"/>
              </w:rPr>
            </w:pPr>
          </w:p>
        </w:tc>
      </w:tr>
      <w:tr w:rsidR="009353B4" w:rsidRPr="00FF4480" w14:paraId="51E78E4A" w14:textId="77777777" w:rsidTr="00E9565F">
        <w:trPr>
          <w:jc w:val="center"/>
        </w:trPr>
        <w:tc>
          <w:tcPr>
            <w:tcW w:w="554" w:type="dxa"/>
          </w:tcPr>
          <w:p w14:paraId="4E218BF0" w14:textId="77777777" w:rsidR="009353B4" w:rsidRPr="00FF4480" w:rsidRDefault="009353B4"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780254E5" w14:textId="7E4A20D3" w:rsidR="009353B4" w:rsidRDefault="009353B4" w:rsidP="005A57D8">
            <w:pPr>
              <w:spacing w:before="120" w:after="120"/>
              <w:rPr>
                <w:rFonts w:ascii="Times New Roman" w:hAnsi="Times New Roman" w:cs="Times New Roman"/>
                <w:sz w:val="20"/>
              </w:rPr>
            </w:pPr>
            <w:r w:rsidRPr="009353B4">
              <w:rPr>
                <w:rFonts w:ascii="Times New Roman" w:hAnsi="Times New Roman" w:cs="Times New Roman"/>
                <w:sz w:val="20"/>
              </w:rPr>
              <w:t>Związek Banków Polskich</w:t>
            </w:r>
          </w:p>
        </w:tc>
        <w:tc>
          <w:tcPr>
            <w:tcW w:w="1905" w:type="dxa"/>
            <w:vAlign w:val="center"/>
          </w:tcPr>
          <w:p w14:paraId="0C7FC5D0" w14:textId="7CDA37F5" w:rsidR="009353B4" w:rsidRDefault="009353B4"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1CD47057" w14:textId="637CA0CD" w:rsidR="009353B4" w:rsidRPr="00E57466" w:rsidRDefault="009353B4" w:rsidP="00B1299D">
            <w:pPr>
              <w:spacing w:before="120" w:after="120"/>
              <w:jc w:val="both"/>
              <w:rPr>
                <w:rFonts w:ascii="Times New Roman" w:hAnsi="Times New Roman" w:cs="Times New Roman"/>
                <w:sz w:val="20"/>
              </w:rPr>
            </w:pPr>
            <w:r>
              <w:rPr>
                <w:rFonts w:ascii="Times New Roman" w:hAnsi="Times New Roman" w:cs="Times New Roman"/>
                <w:sz w:val="20"/>
              </w:rPr>
              <w:t>S</w:t>
            </w:r>
            <w:r w:rsidRPr="009353B4">
              <w:rPr>
                <w:rFonts w:ascii="Times New Roman" w:hAnsi="Times New Roman" w:cs="Times New Roman"/>
                <w:sz w:val="20"/>
              </w:rPr>
              <w:t>tworzenie Portalu Danych o Obrocie Mieszkaniami (Portalu DOM), prezentującego rzeczywiste ceny nieruchomości, jest dobrym krokiem w</w:t>
            </w:r>
            <w:r>
              <w:rPr>
                <w:rFonts w:ascii="Times New Roman" w:hAnsi="Times New Roman" w:cs="Times New Roman"/>
                <w:sz w:val="20"/>
              </w:rPr>
              <w:t xml:space="preserve"> </w:t>
            </w:r>
            <w:r w:rsidRPr="009353B4">
              <w:rPr>
                <w:rFonts w:ascii="Times New Roman" w:hAnsi="Times New Roman" w:cs="Times New Roman"/>
                <w:sz w:val="20"/>
              </w:rPr>
              <w:t>stronę większej przejrzystości rynku nieruchomości. Niestety Portal DOM jest realizowany zmyślą o osobach fizycznych, które nabywają nieruchomości mieszkaniowe dla zaspokojenia własnych potrzeb, a poprzez to stosunkowo rzadko. Działanie ukierunkowane jest na grono nieprzekraczające w skali roku liczby 200 tys. indywidualnych potencjalnych nabywców mieszkań, a wydawałoby się, że przy takim nakładzie pracy i środków finansowych warto byłoby umożliwić korzystanie z danych gromadzonych w Portalu DOM sektorowi bankowemu – np. poprzez zewnętrzną (międzybankową) bazę danych o nieruchomościach, o której mowa w Rekomendacji J Komisji Nadzoru Finansowego dotyczącej zasad gromadzenia i przetwarzania przez banki danych o nieruchomościach. Z</w:t>
            </w:r>
            <w:r>
              <w:rPr>
                <w:rFonts w:ascii="Times New Roman" w:hAnsi="Times New Roman" w:cs="Times New Roman"/>
                <w:sz w:val="20"/>
              </w:rPr>
              <w:t xml:space="preserve"> </w:t>
            </w:r>
            <w:r w:rsidRPr="009353B4">
              <w:rPr>
                <w:rFonts w:ascii="Times New Roman" w:hAnsi="Times New Roman" w:cs="Times New Roman"/>
                <w:sz w:val="20"/>
              </w:rPr>
              <w:t xml:space="preserve">dostępu do takiej bazy danych o rynku nieruchomości (Systemu AMRON) korzysta ponad 600podmiotów gospodarczych aktywnych na rynku nieruchomości, w tym 25 </w:t>
            </w:r>
            <w:r w:rsidRPr="009353B4">
              <w:rPr>
                <w:rFonts w:ascii="Times New Roman" w:hAnsi="Times New Roman" w:cs="Times New Roman"/>
                <w:sz w:val="20"/>
              </w:rPr>
              <w:lastRenderedPageBreak/>
              <w:t>największych banków komercyjnych i 391 banków spółdzielczych oraz od wielu lat Narodowy Bank Polski,</w:t>
            </w:r>
            <w:r>
              <w:t xml:space="preserve"> </w:t>
            </w:r>
            <w:r w:rsidRPr="009353B4">
              <w:rPr>
                <w:rFonts w:ascii="Times New Roman" w:hAnsi="Times New Roman" w:cs="Times New Roman"/>
                <w:sz w:val="20"/>
              </w:rPr>
              <w:t>Urząd Komisji Nadzoru Finansowego, Prokuratura Krajowa i Policja. Kluczowe jest więc stworzenie ram do współpracy z bankami, które pozwolą na pozyskanie danych z bazy (np. poprzez wystawienie API dla międzybankowej bazy danych) – taka forma pobierania danych powinna zostać przewidziana, szczególnie biorąc pod uwagę to, że banki mają uczestniczyć w zasilaniu bazy rekordami.</w:t>
            </w:r>
          </w:p>
        </w:tc>
        <w:tc>
          <w:tcPr>
            <w:tcW w:w="4160" w:type="dxa"/>
          </w:tcPr>
          <w:p w14:paraId="0DB44E18" w14:textId="77777777" w:rsidR="00950347" w:rsidRPr="00AE21CB" w:rsidRDefault="00950347" w:rsidP="00950347">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1A41DED3" w14:textId="7241F5A3" w:rsidR="00950347" w:rsidRDefault="00ED61B2" w:rsidP="005A57D8">
            <w:pPr>
              <w:spacing w:before="120" w:after="120"/>
              <w:jc w:val="both"/>
              <w:rPr>
                <w:rFonts w:ascii="Times New Roman" w:hAnsi="Times New Roman" w:cs="Times New Roman"/>
                <w:sz w:val="20"/>
              </w:rPr>
            </w:pPr>
            <w:r>
              <w:rPr>
                <w:rFonts w:ascii="Times New Roman" w:hAnsi="Times New Roman" w:cs="Times New Roman"/>
                <w:sz w:val="20"/>
              </w:rPr>
              <w:t>Podmiotem uprawnionym do dostępu do statystyk na wniosek będzie Prezes Narodowego Banku Polskiego. Sektor bankowy będzie mógł korzystać z funkcjonalności Portalu DOM w ramach dostępu powszechnego.</w:t>
            </w:r>
          </w:p>
          <w:p w14:paraId="1CE680CA" w14:textId="0FCD951C" w:rsidR="00ED61B2" w:rsidRPr="005D7262" w:rsidRDefault="00ED61B2" w:rsidP="005A57D8">
            <w:pPr>
              <w:spacing w:before="120" w:after="120"/>
              <w:jc w:val="both"/>
              <w:rPr>
                <w:rFonts w:ascii="Times New Roman" w:hAnsi="Times New Roman" w:cs="Times New Roman"/>
                <w:sz w:val="20"/>
              </w:rPr>
            </w:pPr>
            <w:r>
              <w:rPr>
                <w:rFonts w:ascii="Times New Roman" w:hAnsi="Times New Roman" w:cs="Times New Roman"/>
                <w:sz w:val="20"/>
              </w:rPr>
              <w:t xml:space="preserve">Na marginesie warto zauważyć, że </w:t>
            </w:r>
            <w:r w:rsidR="00E46C90">
              <w:rPr>
                <w:rFonts w:ascii="Times New Roman" w:hAnsi="Times New Roman" w:cs="Times New Roman"/>
                <w:sz w:val="20"/>
              </w:rPr>
              <w:t>z</w:t>
            </w:r>
            <w:r w:rsidR="0018335A">
              <w:rPr>
                <w:rFonts w:ascii="Times New Roman" w:hAnsi="Times New Roman" w:cs="Times New Roman"/>
                <w:sz w:val="20"/>
              </w:rPr>
              <w:t>e względu</w:t>
            </w:r>
            <w:r w:rsidR="00E46C90">
              <w:rPr>
                <w:rFonts w:ascii="Times New Roman" w:hAnsi="Times New Roman" w:cs="Times New Roman"/>
                <w:sz w:val="20"/>
              </w:rPr>
              <w:t xml:space="preserve"> na potrzebę zapewnienia ochrony prywatności </w:t>
            </w:r>
            <w:r>
              <w:rPr>
                <w:rFonts w:ascii="Times New Roman" w:hAnsi="Times New Roman" w:cs="Times New Roman"/>
                <w:sz w:val="20"/>
              </w:rPr>
              <w:t>jedynym podmiotem mającym dostęp do danych i informacji przekazywanych na potrzeby Portalu DOM będzie UFG jako podmiot prowadzący Portal. Takiego dostępu nie będzie miał nawet minister odpowiedzialny za sprawy mieszkaniowe, czyli Minister Rozwoju i Technologii.</w:t>
            </w:r>
          </w:p>
        </w:tc>
      </w:tr>
      <w:tr w:rsidR="009353B4" w:rsidRPr="00FF4480" w14:paraId="5204E5C5" w14:textId="77777777" w:rsidTr="00E9565F">
        <w:trPr>
          <w:jc w:val="center"/>
        </w:trPr>
        <w:tc>
          <w:tcPr>
            <w:tcW w:w="554" w:type="dxa"/>
          </w:tcPr>
          <w:p w14:paraId="61E280EC" w14:textId="77777777" w:rsidR="009353B4" w:rsidRPr="00FF4480" w:rsidRDefault="009353B4" w:rsidP="004A28E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4978C669" w14:textId="3233ABD1" w:rsidR="009353B4" w:rsidRPr="009353B4" w:rsidRDefault="009353B4" w:rsidP="005A57D8">
            <w:pPr>
              <w:spacing w:before="120" w:after="120"/>
              <w:rPr>
                <w:rFonts w:ascii="Times New Roman" w:hAnsi="Times New Roman" w:cs="Times New Roman"/>
                <w:sz w:val="20"/>
              </w:rPr>
            </w:pPr>
            <w:r w:rsidRPr="009353B4">
              <w:rPr>
                <w:rFonts w:ascii="Times New Roman" w:hAnsi="Times New Roman" w:cs="Times New Roman"/>
                <w:sz w:val="20"/>
              </w:rPr>
              <w:t>Związek Banków Polskich</w:t>
            </w:r>
          </w:p>
        </w:tc>
        <w:tc>
          <w:tcPr>
            <w:tcW w:w="1905" w:type="dxa"/>
            <w:vAlign w:val="center"/>
          </w:tcPr>
          <w:p w14:paraId="39607A78" w14:textId="20EF9B92" w:rsidR="009353B4" w:rsidRDefault="009353B4" w:rsidP="005A57D8">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6D128101" w14:textId="708B2528" w:rsidR="00BC2B80" w:rsidRDefault="00BC2B80" w:rsidP="00B1299D">
            <w:pPr>
              <w:spacing w:before="120" w:after="120"/>
              <w:jc w:val="both"/>
              <w:rPr>
                <w:rFonts w:ascii="Times New Roman" w:hAnsi="Times New Roman" w:cs="Times New Roman"/>
                <w:sz w:val="20"/>
              </w:rPr>
            </w:pPr>
            <w:r w:rsidRPr="00BC2B80">
              <w:rPr>
                <w:rFonts w:ascii="Times New Roman" w:hAnsi="Times New Roman" w:cs="Times New Roman"/>
                <w:sz w:val="20"/>
              </w:rPr>
              <w:t>Elektroniczn</w:t>
            </w:r>
            <w:r>
              <w:rPr>
                <w:rFonts w:ascii="Times New Roman" w:hAnsi="Times New Roman" w:cs="Times New Roman"/>
                <w:sz w:val="20"/>
              </w:rPr>
              <w:t>a</w:t>
            </w:r>
            <w:r w:rsidRPr="00BC2B80">
              <w:rPr>
                <w:rFonts w:ascii="Times New Roman" w:hAnsi="Times New Roman" w:cs="Times New Roman"/>
                <w:sz w:val="20"/>
              </w:rPr>
              <w:t xml:space="preserve"> Kart</w:t>
            </w:r>
            <w:r>
              <w:rPr>
                <w:rFonts w:ascii="Times New Roman" w:hAnsi="Times New Roman" w:cs="Times New Roman"/>
                <w:sz w:val="20"/>
              </w:rPr>
              <w:t>a</w:t>
            </w:r>
            <w:r w:rsidRPr="00BC2B80">
              <w:rPr>
                <w:rFonts w:ascii="Times New Roman" w:hAnsi="Times New Roman" w:cs="Times New Roman"/>
                <w:sz w:val="20"/>
              </w:rPr>
              <w:t xml:space="preserve"> Nieruchomości</w:t>
            </w:r>
          </w:p>
          <w:p w14:paraId="36CDD8A6" w14:textId="0C13C252" w:rsidR="009353B4" w:rsidRDefault="009353B4" w:rsidP="00B1299D">
            <w:pPr>
              <w:spacing w:before="120" w:after="120"/>
              <w:jc w:val="both"/>
              <w:rPr>
                <w:rFonts w:ascii="Times New Roman" w:hAnsi="Times New Roman" w:cs="Times New Roman"/>
                <w:sz w:val="20"/>
              </w:rPr>
            </w:pPr>
            <w:r w:rsidRPr="009353B4">
              <w:rPr>
                <w:rFonts w:ascii="Times New Roman" w:hAnsi="Times New Roman" w:cs="Times New Roman"/>
                <w:sz w:val="20"/>
              </w:rPr>
              <w:t xml:space="preserve">Dobrym rozwiązaniem jest wykorzystanie już istniejących źródeł informacji, czyli danych z Deweloperskiego Funduszu Gwarancyjnego i danych gromadzonych przez Krajową Administrację Skarbową (formularze uzupełniane przez notariuszy). Przełomem na rynku byłoby jednak </w:t>
            </w:r>
            <w:proofErr w:type="spellStart"/>
            <w:r w:rsidRPr="009353B4">
              <w:rPr>
                <w:rFonts w:ascii="Times New Roman" w:hAnsi="Times New Roman" w:cs="Times New Roman"/>
                <w:sz w:val="20"/>
              </w:rPr>
              <w:t>wystandaryzowanie</w:t>
            </w:r>
            <w:proofErr w:type="spellEnd"/>
            <w:r w:rsidRPr="009353B4">
              <w:rPr>
                <w:rFonts w:ascii="Times New Roman" w:hAnsi="Times New Roman" w:cs="Times New Roman"/>
                <w:sz w:val="20"/>
              </w:rPr>
              <w:t xml:space="preserve"> danych opisujących nieruchomość będącą przedmiotem transakcji kupna. W tym miejscu Związek Banków Polskich rekomenduje kontynuowanie dyskusji o wdrożeniu Elektronicznej Karty Nieruchomości (EKN), która powinna stanowić załącznik da aktu notarialnego nabycia nieruchomości. Zakres danych gromadzonych w EKN zdecydowanie rozszerza listę cech i atrybutów nieruchomości, umożlwiających weryfikację ceny transakcyjnej, chociażby pod kątem stanu technicznego nieruchomości i co szczególnie istotne obejmuje również atrybuty efektywności energetycznej nieruchomości.</w:t>
            </w:r>
          </w:p>
          <w:p w14:paraId="363DAC5C" w14:textId="77777777" w:rsidR="009353B4" w:rsidRDefault="009353B4" w:rsidP="00B1299D">
            <w:pPr>
              <w:spacing w:before="120" w:after="120"/>
              <w:jc w:val="both"/>
              <w:rPr>
                <w:rFonts w:ascii="Times New Roman" w:hAnsi="Times New Roman" w:cs="Times New Roman"/>
                <w:sz w:val="20"/>
              </w:rPr>
            </w:pPr>
            <w:r w:rsidRPr="009353B4">
              <w:rPr>
                <w:rFonts w:ascii="Times New Roman" w:hAnsi="Times New Roman" w:cs="Times New Roman"/>
                <w:sz w:val="20"/>
              </w:rPr>
              <w:t>Podjęcie próby uporządkowania rynku informacji o nieruchomościach powinno objąć również istniejące Rejestry Cen Nieruchomości, prowadzone przez starostów. Również tutaj wprowadzenie EKN pozwoliłoby na bieżące i bezbłędne wprowadzenie danych o transakcjach, ze względu na konieczność przetwarzania informacji z aktów notarialnych. Zagwarantowałoby tym samym spójność danych o transakcjach, tak istotną zarówno dla wszystkich profesjonalnych uczestników tego rynku, jak również potencjalnych nabywców mieszkań.</w:t>
            </w:r>
          </w:p>
          <w:p w14:paraId="59F0E3ED" w14:textId="77777777" w:rsidR="009353B4" w:rsidRDefault="009353B4" w:rsidP="00B1299D">
            <w:pPr>
              <w:spacing w:before="120" w:after="120"/>
              <w:jc w:val="both"/>
              <w:rPr>
                <w:rFonts w:ascii="Times New Roman" w:hAnsi="Times New Roman" w:cs="Times New Roman"/>
                <w:sz w:val="20"/>
              </w:rPr>
            </w:pPr>
            <w:r w:rsidRPr="009353B4">
              <w:rPr>
                <w:rFonts w:ascii="Times New Roman" w:hAnsi="Times New Roman" w:cs="Times New Roman"/>
                <w:sz w:val="20"/>
              </w:rPr>
              <w:t xml:space="preserve">Punktem wyjścia byłoby zobowiązanie notariuszy do standardowego opisu nieruchomości w akcie notarialnym przenoszącym własność nieruchomości, np. w drodze (koniecznego) unormowania treści </w:t>
            </w:r>
            <w:r w:rsidRPr="009353B4">
              <w:rPr>
                <w:rFonts w:ascii="Times New Roman" w:hAnsi="Times New Roman" w:cs="Times New Roman"/>
                <w:sz w:val="20"/>
              </w:rPr>
              <w:lastRenderedPageBreak/>
              <w:t>elektronicznej karty nieruchomości jako załącznika do aktu notarialnego przenoszącego własność nieruchomości. Ułatwiłoby to m.in. notariuszom pracę przy weryfikacji dokumentów potwierdzających prawo własności do nieruchomości, a jednocześnie ujednoliciłoby informacje zawarte w aktach notarialnych. Dzięki temu akty notarialne przekazywane do Urzędów Skarbowych, Powiatowych Ośrodków Dokumentacji Geodezyjnej i Kartograficznej oraz wydziałów ksiąg wieczystych sądów rejonowych i udostępniane innym uczestnikom rynku obrotu nieruchomościami zawierałyby standardowy, zunifikowany zakres podstawowych informacji o nieruchomości będącej przedmiotem transakcji i umożliwiłyby pełną identyfikację transakcji na rynku nieruchomości. Wyeliminowałoby to również ryzyko pojawiania się błędnych danych w publicznych rejestrach wskutek ręcznego wprowadzania danych w poszczególnych jednostkach administracji publicznej.</w:t>
            </w:r>
          </w:p>
          <w:p w14:paraId="61352391" w14:textId="4EA2539B" w:rsidR="009353B4" w:rsidRDefault="009353B4" w:rsidP="00B1299D">
            <w:pPr>
              <w:spacing w:before="120" w:after="120"/>
              <w:jc w:val="both"/>
              <w:rPr>
                <w:rFonts w:ascii="Times New Roman" w:hAnsi="Times New Roman" w:cs="Times New Roman"/>
                <w:sz w:val="20"/>
              </w:rPr>
            </w:pPr>
            <w:r w:rsidRPr="009353B4">
              <w:rPr>
                <w:rFonts w:ascii="Times New Roman" w:hAnsi="Times New Roman" w:cs="Times New Roman"/>
                <w:sz w:val="20"/>
              </w:rPr>
              <w:t>Zawartość informacyjna proponowanej Elektronicznej Karty Nieruchomości jest zbieżna ze standardem opisu nieruchomości określonym w Rekomendacji J Komisji Nadzoru Finansowego dla zewnętrznych (międzybankowych) baz danych o nieruchomościach – Systemu AMRON. Przedmiotowe dane EKN są tożsame z bazą Narodowego Banku Polskiego, Rejestrami Cen i Wartości Nieruchomości oraz bazami danych Walor prowadzonymi przez rzeczoznawców majątkowych. Dane EKN pokrywają się również z danymi przetwarzanymi w rejestrach, które wchodzą w skład Zintegrowanego Systemu Informacji o Nieruchomościach (</w:t>
            </w:r>
            <w:proofErr w:type="spellStart"/>
            <w:r w:rsidRPr="009353B4">
              <w:rPr>
                <w:rFonts w:ascii="Times New Roman" w:hAnsi="Times New Roman" w:cs="Times New Roman"/>
                <w:sz w:val="20"/>
              </w:rPr>
              <w:t>EGiB</w:t>
            </w:r>
            <w:proofErr w:type="spellEnd"/>
            <w:r w:rsidRPr="009353B4">
              <w:rPr>
                <w:rFonts w:ascii="Times New Roman" w:hAnsi="Times New Roman" w:cs="Times New Roman"/>
                <w:sz w:val="20"/>
              </w:rPr>
              <w:t xml:space="preserve"> i KW) oraz odpowiadają zakresowi danych, które mają</w:t>
            </w:r>
            <w:r>
              <w:rPr>
                <w:rFonts w:ascii="Times New Roman" w:hAnsi="Times New Roman" w:cs="Times New Roman"/>
                <w:sz w:val="20"/>
              </w:rPr>
              <w:t xml:space="preserve"> </w:t>
            </w:r>
            <w:r w:rsidRPr="009353B4">
              <w:rPr>
                <w:rFonts w:ascii="Times New Roman" w:hAnsi="Times New Roman" w:cs="Times New Roman"/>
                <w:sz w:val="20"/>
              </w:rPr>
              <w:t>być przetwarzane w realizowanym przez Ministerstwo Rozwoju i Technologii Portalu Danych</w:t>
            </w:r>
            <w:r>
              <w:rPr>
                <w:rFonts w:ascii="Times New Roman" w:hAnsi="Times New Roman" w:cs="Times New Roman"/>
                <w:sz w:val="20"/>
              </w:rPr>
              <w:t xml:space="preserve"> </w:t>
            </w:r>
            <w:r w:rsidRPr="009353B4">
              <w:rPr>
                <w:rFonts w:ascii="Times New Roman" w:hAnsi="Times New Roman" w:cs="Times New Roman"/>
                <w:sz w:val="20"/>
              </w:rPr>
              <w:t>o Obrocie Mieszkań DOM. Zewnętrzna (międzybankowa) baza danych o rynku nieruchomości– System AMRON, prowadzona przez izbę gospodarczą sektora bankowego pełnić będzie funkcję depozytariusza Elektronicznych Kart Nieruchomości.</w:t>
            </w:r>
          </w:p>
          <w:p w14:paraId="45471CA5" w14:textId="553B5B94" w:rsidR="009353B4" w:rsidRDefault="009353B4" w:rsidP="00B1299D">
            <w:pPr>
              <w:spacing w:before="120" w:after="120"/>
              <w:jc w:val="both"/>
              <w:rPr>
                <w:rFonts w:ascii="Times New Roman" w:hAnsi="Times New Roman" w:cs="Times New Roman"/>
                <w:sz w:val="20"/>
              </w:rPr>
            </w:pPr>
            <w:r w:rsidRPr="009353B4">
              <w:rPr>
                <w:rFonts w:ascii="Times New Roman" w:hAnsi="Times New Roman" w:cs="Times New Roman"/>
                <w:sz w:val="20"/>
              </w:rPr>
              <w:t>Biorąc powyższe pod uwagę, wprowadzenie Elektronicznej Karty Nieruchomości do polskiego porządku prawnego należy uznać za celowe oraz w pełni uzasadnione.</w:t>
            </w:r>
          </w:p>
        </w:tc>
        <w:tc>
          <w:tcPr>
            <w:tcW w:w="4160" w:type="dxa"/>
          </w:tcPr>
          <w:p w14:paraId="54AB4E21" w14:textId="77777777" w:rsidR="00937D1E" w:rsidRPr="00AE21CB" w:rsidRDefault="00937D1E" w:rsidP="00937D1E">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lastRenderedPageBreak/>
              <w:t>Komentarz do uwagi</w:t>
            </w:r>
          </w:p>
          <w:p w14:paraId="6BFCF8F9" w14:textId="77777777" w:rsidR="003C79BB" w:rsidRPr="003C79BB"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t xml:space="preserve">Ministerstwo Rozwoju i Technologii popiera wszelkie inicjatywy, które mogłyby wpłynąć na poprawę jakości danych o nieruchomościach gromadzonych w rejestrach publicznych. </w:t>
            </w:r>
          </w:p>
          <w:p w14:paraId="62E850D5" w14:textId="7F1C1312" w:rsidR="003C79BB" w:rsidRPr="003C79BB"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t>Propozycja dotycząca zobowiązania notariuszy do sporządzania zestandaryzowanego opisu nieruchomości w procesie sporządzania aktu notarialnego, którego przedmiotem jest transakcja nieruchomością, wpisuje się w</w:t>
            </w:r>
            <w:r>
              <w:rPr>
                <w:rFonts w:ascii="Times New Roman" w:hAnsi="Times New Roman" w:cs="Times New Roman"/>
                <w:sz w:val="20"/>
              </w:rPr>
              <w:t> </w:t>
            </w:r>
            <w:r w:rsidRPr="003C79BB">
              <w:rPr>
                <w:rFonts w:ascii="Times New Roman" w:hAnsi="Times New Roman" w:cs="Times New Roman"/>
                <w:sz w:val="20"/>
              </w:rPr>
              <w:t>kierunek podejmowanych od lat przez resort działań mających na celu usprawnienie funkcjonowania administracji publicznej w</w:t>
            </w:r>
            <w:r>
              <w:rPr>
                <w:rFonts w:ascii="Times New Roman" w:hAnsi="Times New Roman" w:cs="Times New Roman"/>
                <w:sz w:val="20"/>
              </w:rPr>
              <w:t> </w:t>
            </w:r>
            <w:r w:rsidRPr="003C79BB">
              <w:rPr>
                <w:rFonts w:ascii="Times New Roman" w:hAnsi="Times New Roman" w:cs="Times New Roman"/>
                <w:sz w:val="20"/>
              </w:rPr>
              <w:t xml:space="preserve">zakresie związanym z udostępnianiem informacji o nieruchomościach w celu poprawy jakości tych danych. </w:t>
            </w:r>
          </w:p>
          <w:p w14:paraId="0571D645" w14:textId="0A0ED81D" w:rsidR="003C79BB" w:rsidRPr="003C79BB"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t>Resort dostrzega pewne niedoskonałości funkcjonujących obecnie rozwiązań, w tym przede wszystkim dotyczące trudności z</w:t>
            </w:r>
            <w:r>
              <w:rPr>
                <w:rFonts w:ascii="Times New Roman" w:hAnsi="Times New Roman" w:cs="Times New Roman"/>
                <w:sz w:val="20"/>
              </w:rPr>
              <w:t> </w:t>
            </w:r>
            <w:r w:rsidRPr="003C79BB">
              <w:rPr>
                <w:rFonts w:ascii="Times New Roman" w:hAnsi="Times New Roman" w:cs="Times New Roman"/>
                <w:sz w:val="20"/>
              </w:rPr>
              <w:t>zapewnieniem kompletności i dobrej jakości, a</w:t>
            </w:r>
            <w:r>
              <w:rPr>
                <w:rFonts w:ascii="Times New Roman" w:hAnsi="Times New Roman" w:cs="Times New Roman"/>
                <w:sz w:val="20"/>
              </w:rPr>
              <w:t> </w:t>
            </w:r>
            <w:r w:rsidRPr="003C79BB">
              <w:rPr>
                <w:rFonts w:ascii="Times New Roman" w:hAnsi="Times New Roman" w:cs="Times New Roman"/>
                <w:sz w:val="20"/>
              </w:rPr>
              <w:t>także aktualności danych zawartych w</w:t>
            </w:r>
            <w:r>
              <w:rPr>
                <w:rFonts w:ascii="Times New Roman" w:hAnsi="Times New Roman" w:cs="Times New Roman"/>
                <w:sz w:val="20"/>
              </w:rPr>
              <w:t> </w:t>
            </w:r>
            <w:r w:rsidRPr="003C79BB">
              <w:rPr>
                <w:rFonts w:ascii="Times New Roman" w:hAnsi="Times New Roman" w:cs="Times New Roman"/>
                <w:sz w:val="20"/>
              </w:rPr>
              <w:t>prowadzonych przez starostów rejestrach cen nieruchomości. Wydaje się, że uporządkowanie i</w:t>
            </w:r>
            <w:r>
              <w:rPr>
                <w:rFonts w:ascii="Times New Roman" w:hAnsi="Times New Roman" w:cs="Times New Roman"/>
                <w:sz w:val="20"/>
              </w:rPr>
              <w:t> </w:t>
            </w:r>
            <w:r w:rsidRPr="003C79BB">
              <w:rPr>
                <w:rFonts w:ascii="Times New Roman" w:hAnsi="Times New Roman" w:cs="Times New Roman"/>
                <w:sz w:val="20"/>
              </w:rPr>
              <w:t xml:space="preserve">ujednolicenie zakresu gromadzonych informacji o nieruchomościach już w momencie zawierania transakcji, a więc przy podpisywaniu aktu notarialnego, bo do tego </w:t>
            </w:r>
            <w:r w:rsidRPr="003C79BB">
              <w:rPr>
                <w:rFonts w:ascii="Times New Roman" w:hAnsi="Times New Roman" w:cs="Times New Roman"/>
                <w:i/>
                <w:iCs/>
                <w:sz w:val="20"/>
              </w:rPr>
              <w:t>de facto</w:t>
            </w:r>
            <w:r w:rsidRPr="003C79BB">
              <w:rPr>
                <w:rFonts w:ascii="Times New Roman" w:hAnsi="Times New Roman" w:cs="Times New Roman"/>
                <w:sz w:val="20"/>
              </w:rPr>
              <w:t xml:space="preserve"> zmierzałaby propozycja Związku Banków Polskich, </w:t>
            </w:r>
            <w:r w:rsidRPr="003C79BB">
              <w:rPr>
                <w:rFonts w:ascii="Times New Roman" w:hAnsi="Times New Roman" w:cs="Times New Roman"/>
                <w:sz w:val="20"/>
              </w:rPr>
              <w:lastRenderedPageBreak/>
              <w:t xml:space="preserve">wyeliminowałoby większość identyfikowanych mankamentów. </w:t>
            </w:r>
          </w:p>
          <w:p w14:paraId="7B35D534" w14:textId="7C87C8DA" w:rsidR="003C79BB" w:rsidRPr="003C79BB"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t>Dyskusje nad ewentualnym wdrożeniem proponowanego narzędzia nie mogą jednak odbywać się bez udziału oraz współpracy podmiotów prowadzących rejestry, w których gromadzone są informacje o nieruchomościach, a</w:t>
            </w:r>
            <w:r>
              <w:rPr>
                <w:rFonts w:ascii="Times New Roman" w:hAnsi="Times New Roman" w:cs="Times New Roman"/>
                <w:sz w:val="20"/>
              </w:rPr>
              <w:t> </w:t>
            </w:r>
            <w:r w:rsidRPr="003C79BB">
              <w:rPr>
                <w:rFonts w:ascii="Times New Roman" w:hAnsi="Times New Roman" w:cs="Times New Roman"/>
                <w:sz w:val="20"/>
              </w:rPr>
              <w:t>więc m.in. Głównego Geodety Kraju (odpowiedzialnego za rejestry cen nieruchomości), Ministra Sprawiedliwości (sprawującego nadzór nad notariatem) oraz Ministra Cyfryzacji (odpowiedzialnego za szeroko pojętą informatyzację państwa).</w:t>
            </w:r>
          </w:p>
          <w:p w14:paraId="67997E88" w14:textId="77777777" w:rsidR="003C79BB"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t>Nie można bowiem tracić z pola widzenia, że przedstawiona propozycja może powielać bądź pośrednio być związana z inicjatywami w</w:t>
            </w:r>
            <w:r>
              <w:rPr>
                <w:rFonts w:ascii="Times New Roman" w:hAnsi="Times New Roman" w:cs="Times New Roman"/>
                <w:sz w:val="20"/>
              </w:rPr>
              <w:t> </w:t>
            </w:r>
            <w:r w:rsidRPr="003C79BB">
              <w:rPr>
                <w:rFonts w:ascii="Times New Roman" w:hAnsi="Times New Roman" w:cs="Times New Roman"/>
                <w:sz w:val="20"/>
              </w:rPr>
              <w:t>zakresie poprawy jakości danych o</w:t>
            </w:r>
            <w:r>
              <w:rPr>
                <w:rFonts w:ascii="Times New Roman" w:hAnsi="Times New Roman" w:cs="Times New Roman"/>
                <w:sz w:val="20"/>
              </w:rPr>
              <w:t> </w:t>
            </w:r>
            <w:r w:rsidRPr="003C79BB">
              <w:rPr>
                <w:rFonts w:ascii="Times New Roman" w:hAnsi="Times New Roman" w:cs="Times New Roman"/>
                <w:sz w:val="20"/>
              </w:rPr>
              <w:t>nieruchomościach podejmowanymi również przez te podmioty. Tytułem przykładu można wspomnieć chociażby o działaniach Głównego Geodety Kraju w zakresie planowanej dalszej rozbudowy funkcjonalności Zintegrowanego Systemu Informacji o Nieruchomościach, w</w:t>
            </w:r>
            <w:r>
              <w:rPr>
                <w:rFonts w:ascii="Times New Roman" w:hAnsi="Times New Roman" w:cs="Times New Roman"/>
                <w:sz w:val="20"/>
              </w:rPr>
              <w:t> </w:t>
            </w:r>
            <w:r w:rsidRPr="003C79BB">
              <w:rPr>
                <w:rFonts w:ascii="Times New Roman" w:hAnsi="Times New Roman" w:cs="Times New Roman"/>
                <w:sz w:val="20"/>
              </w:rPr>
              <w:t>ramach której prowadzone są m.in. dyskusje z</w:t>
            </w:r>
            <w:r>
              <w:rPr>
                <w:rFonts w:ascii="Times New Roman" w:hAnsi="Times New Roman" w:cs="Times New Roman"/>
                <w:sz w:val="20"/>
              </w:rPr>
              <w:t> </w:t>
            </w:r>
            <w:r w:rsidRPr="003C79BB">
              <w:rPr>
                <w:rFonts w:ascii="Times New Roman" w:hAnsi="Times New Roman" w:cs="Times New Roman"/>
                <w:sz w:val="20"/>
              </w:rPr>
              <w:t>Ministrem Sprawiedliwości i notariatem nad umożliwieniem przekazywania elektronicznych wypisów z aktów notarialnych do starostw z</w:t>
            </w:r>
            <w:r>
              <w:rPr>
                <w:rFonts w:ascii="Times New Roman" w:hAnsi="Times New Roman" w:cs="Times New Roman"/>
                <w:sz w:val="20"/>
              </w:rPr>
              <w:t> </w:t>
            </w:r>
            <w:r w:rsidRPr="003C79BB">
              <w:rPr>
                <w:rFonts w:ascii="Times New Roman" w:hAnsi="Times New Roman" w:cs="Times New Roman"/>
                <w:sz w:val="20"/>
              </w:rPr>
              <w:t xml:space="preserve">wykorzystaniem Centralnego Repozytorium Elektronicznych Wypisów Aktów Notarialnych prowadzonego przez Krajową Radę Notarialną. Działanie to z pewnością wpłynęłoby na poprawę wiarygodności oraz aktualności danych gromadzonych w rejestrach cen nieruchomości. Toczą się również rozmowy nad ustrukturyzowaniem treści aktów notarialnych, co umożliwiłoby zautomatyzowanie w pełni procesów przesyłania danych między rejestrami. </w:t>
            </w:r>
          </w:p>
          <w:p w14:paraId="5422B19E" w14:textId="7EFA68F5" w:rsidR="009353B4" w:rsidRPr="005D7262" w:rsidRDefault="003C79BB" w:rsidP="003C79BB">
            <w:pPr>
              <w:spacing w:before="120" w:after="120"/>
              <w:jc w:val="both"/>
              <w:rPr>
                <w:rFonts w:ascii="Times New Roman" w:hAnsi="Times New Roman" w:cs="Times New Roman"/>
                <w:sz w:val="20"/>
              </w:rPr>
            </w:pPr>
            <w:r w:rsidRPr="003C79BB">
              <w:rPr>
                <w:rFonts w:ascii="Times New Roman" w:hAnsi="Times New Roman" w:cs="Times New Roman"/>
                <w:sz w:val="20"/>
              </w:rPr>
              <w:lastRenderedPageBreak/>
              <w:t>Warto mieć również na uwadze, że stworzenie zestandaryzowanej karty opisu nieruchomości nie jest pomysłem nowym. Z informacji posiadanych przez resort wynika, że w ubiegłych latach podobne prace toczyły się już w Ministerstwie Cyfryzacji. Jak pokazała praktyka, prace te nie zostały jak dotąd sfinalizowane. Nie można zatem wykluczyć, że propozycja Związku Banków Polskich może stanowić impuls do ponownego podjęcia prac w tym obszarze.</w:t>
            </w:r>
          </w:p>
        </w:tc>
      </w:tr>
      <w:tr w:rsidR="00E46C90" w:rsidRPr="00FF4480" w14:paraId="63E95DA1" w14:textId="77777777" w:rsidTr="00E9565F">
        <w:trPr>
          <w:jc w:val="center"/>
        </w:trPr>
        <w:tc>
          <w:tcPr>
            <w:tcW w:w="554" w:type="dxa"/>
          </w:tcPr>
          <w:p w14:paraId="35A84900" w14:textId="77777777" w:rsidR="00E46C90" w:rsidRPr="00FF4480" w:rsidRDefault="00E46C90" w:rsidP="00E46C9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14055CE5" w14:textId="56D9D872" w:rsidR="00E46C90" w:rsidRDefault="00E46C90" w:rsidP="00E46C90">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2CC97324" w14:textId="7E516CA5" w:rsidR="00E46C90" w:rsidRDefault="00E46C90" w:rsidP="00E46C90">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4752FD86" w14:textId="7D8E37BF" w:rsidR="00E46C90" w:rsidRPr="00BB39FE" w:rsidRDefault="00E46C90" w:rsidP="00E46C90">
            <w:pPr>
              <w:spacing w:before="120" w:after="120"/>
              <w:jc w:val="both"/>
              <w:rPr>
                <w:rFonts w:ascii="Times New Roman" w:hAnsi="Times New Roman" w:cs="Times New Roman"/>
                <w:sz w:val="20"/>
              </w:rPr>
            </w:pPr>
            <w:r w:rsidRPr="00E57466">
              <w:rPr>
                <w:rFonts w:ascii="Times New Roman" w:hAnsi="Times New Roman" w:cs="Times New Roman"/>
                <w:sz w:val="20"/>
              </w:rPr>
              <w:t>Kluczowe jest stworzenie ram do współpracy z bankami, które pozwolą na regularne pozyskanie danych z bazy – np. poprzez zewnętrzną (międzybankową) bazę danych o nieruchomościach, o której mowa w Rekomendacji J Komisji Nadzoru Finansowego dotyczącą zasad gromadzenia i przetwarzania przez banki danych o nieruchomościach. Niezrozumiałe jest pominięcie banków z kręgu uprawnionych do korzystania z danych o nieruchomościach (poszczególnych rekordach oczywiście z wyłączeniem PESEL), jeżeli jednocześnie są podmiotami zobowiązanymi do przekazywania danych i zasilania bazy.</w:t>
            </w:r>
          </w:p>
        </w:tc>
        <w:tc>
          <w:tcPr>
            <w:tcW w:w="4160" w:type="dxa"/>
          </w:tcPr>
          <w:p w14:paraId="40A4117C" w14:textId="77777777" w:rsidR="00E46C90" w:rsidRPr="00AE21CB" w:rsidRDefault="00E46C90" w:rsidP="00E46C90">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t>Komentarz do uwagi</w:t>
            </w:r>
          </w:p>
          <w:p w14:paraId="713F96CA" w14:textId="77777777" w:rsidR="00E46C90" w:rsidRDefault="00E46C90" w:rsidP="00E46C90">
            <w:pPr>
              <w:spacing w:before="120" w:after="120"/>
              <w:jc w:val="both"/>
              <w:rPr>
                <w:rFonts w:ascii="Times New Roman" w:hAnsi="Times New Roman" w:cs="Times New Roman"/>
                <w:sz w:val="20"/>
              </w:rPr>
            </w:pPr>
            <w:r>
              <w:rPr>
                <w:rFonts w:ascii="Times New Roman" w:hAnsi="Times New Roman" w:cs="Times New Roman"/>
                <w:sz w:val="20"/>
              </w:rPr>
              <w:t>Podmiotem uprawnionym do dostępu do statystyk na wniosek będzie Prezes Narodowego Banku Polskiego. Sektor bankowy będzie mógł korzystać z funkcjonalności Portalu DOM w ramach dostępu powszechnego.</w:t>
            </w:r>
          </w:p>
          <w:p w14:paraId="55D4E887" w14:textId="643848B4" w:rsidR="00E46C90" w:rsidRPr="005D7262" w:rsidRDefault="00E46C90" w:rsidP="00E46C90">
            <w:pPr>
              <w:spacing w:before="120" w:after="120"/>
              <w:jc w:val="both"/>
              <w:rPr>
                <w:rFonts w:ascii="Times New Roman" w:hAnsi="Times New Roman" w:cs="Times New Roman"/>
                <w:sz w:val="20"/>
              </w:rPr>
            </w:pPr>
            <w:r>
              <w:rPr>
                <w:rFonts w:ascii="Times New Roman" w:hAnsi="Times New Roman" w:cs="Times New Roman"/>
                <w:sz w:val="20"/>
              </w:rPr>
              <w:t>Na marginesie warto zauważyć, że z</w:t>
            </w:r>
            <w:r w:rsidR="0018335A">
              <w:rPr>
                <w:rFonts w:ascii="Times New Roman" w:hAnsi="Times New Roman" w:cs="Times New Roman"/>
                <w:sz w:val="20"/>
              </w:rPr>
              <w:t>e względu</w:t>
            </w:r>
            <w:r>
              <w:rPr>
                <w:rFonts w:ascii="Times New Roman" w:hAnsi="Times New Roman" w:cs="Times New Roman"/>
                <w:sz w:val="20"/>
              </w:rPr>
              <w:t xml:space="preserve"> na potrzebę zapewnienia ochrony prywatności jedynym podmiotem mającym dostęp do danych i informacji przekazywanych na potrzeby Portalu DOM będzie UFG jako podmiot prowadzący Portal. Takiego dostępu nie będzie miał nawet minister odpowiedzialny za sprawy mieszkaniowe, czyli Minister Rozwoju i Technologii.</w:t>
            </w:r>
          </w:p>
        </w:tc>
      </w:tr>
      <w:tr w:rsidR="00E46C90" w:rsidRPr="00FF4480" w14:paraId="24DB28D4" w14:textId="77777777" w:rsidTr="00E9565F">
        <w:trPr>
          <w:jc w:val="center"/>
        </w:trPr>
        <w:tc>
          <w:tcPr>
            <w:tcW w:w="554" w:type="dxa"/>
          </w:tcPr>
          <w:p w14:paraId="51E550F4" w14:textId="77777777" w:rsidR="00E46C90" w:rsidRPr="00FF4480" w:rsidRDefault="00E46C90" w:rsidP="00E46C9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655F9261" w14:textId="0F43CA80" w:rsidR="00E46C90" w:rsidRDefault="00E46C90" w:rsidP="00E46C90">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1E7F891A" w14:textId="36BC41CE" w:rsidR="00E46C90" w:rsidRDefault="00E46C90" w:rsidP="00E46C90">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1DBB7992" w14:textId="4431B8F7" w:rsidR="00E46C90" w:rsidRPr="00E57466" w:rsidRDefault="00E46C90" w:rsidP="00E46C90">
            <w:pPr>
              <w:spacing w:before="120" w:after="120"/>
              <w:jc w:val="both"/>
              <w:rPr>
                <w:rFonts w:ascii="Times New Roman" w:hAnsi="Times New Roman" w:cs="Times New Roman"/>
                <w:sz w:val="20"/>
              </w:rPr>
            </w:pPr>
            <w:r w:rsidRPr="00E57466">
              <w:rPr>
                <w:rFonts w:ascii="Times New Roman" w:hAnsi="Times New Roman" w:cs="Times New Roman"/>
                <w:sz w:val="20"/>
              </w:rPr>
              <w:t>Nowelizowana ustawa w obecnej daleko zmienionej postaci (powszechne jest określenie nowa ustawa deweloperska) w pełni obowiązuje od 1 lipca bieżącego roku.  Nasuwa się więc wątpliwość, czy nie za wcześnie na nowelizację, czy nie właściwiej byłoby dokonać nowelizacji po np. rocznym okresie „pełnego obowiązywania, ewentualnie przy krótszym okresie vacatio legis.</w:t>
            </w:r>
          </w:p>
        </w:tc>
        <w:tc>
          <w:tcPr>
            <w:tcW w:w="4160" w:type="dxa"/>
          </w:tcPr>
          <w:p w14:paraId="19025FAE" w14:textId="77777777" w:rsidR="00C676A6" w:rsidRPr="00AE21CB" w:rsidRDefault="00C676A6" w:rsidP="00C676A6">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t>Komentarz do uwagi</w:t>
            </w:r>
          </w:p>
          <w:p w14:paraId="3C33A8AF" w14:textId="5CDE1110" w:rsidR="00E46C90" w:rsidRPr="005D7262" w:rsidRDefault="00F7447C" w:rsidP="00E46C90">
            <w:pPr>
              <w:spacing w:before="120" w:after="120"/>
              <w:jc w:val="both"/>
              <w:rPr>
                <w:rFonts w:ascii="Times New Roman" w:hAnsi="Times New Roman" w:cs="Times New Roman"/>
                <w:sz w:val="20"/>
              </w:rPr>
            </w:pPr>
            <w:r>
              <w:rPr>
                <w:rFonts w:ascii="Times New Roman" w:hAnsi="Times New Roman" w:cs="Times New Roman"/>
                <w:sz w:val="20"/>
              </w:rPr>
              <w:t>Projektowane rozwiązania nie ingerują w system ustawy deweloperskiej, nie ma zatem uzasadnienia dla opóźniania prac nad tymi rozwiązaniami. Portal DOM uzupełni instrumentarium ochrony nabywców</w:t>
            </w:r>
            <w:r w:rsidR="001F43DC">
              <w:rPr>
                <w:rFonts w:ascii="Times New Roman" w:hAnsi="Times New Roman" w:cs="Times New Roman"/>
                <w:sz w:val="20"/>
              </w:rPr>
              <w:t>, nie wpływając negatywnie na inne instrumenty tej ochrony uregulowane w ustawie deweloperskiej.</w:t>
            </w:r>
          </w:p>
        </w:tc>
      </w:tr>
      <w:tr w:rsidR="00E46C90" w:rsidRPr="00FF4480" w14:paraId="2EDA0784" w14:textId="77777777" w:rsidTr="00E9565F">
        <w:trPr>
          <w:jc w:val="center"/>
        </w:trPr>
        <w:tc>
          <w:tcPr>
            <w:tcW w:w="554" w:type="dxa"/>
          </w:tcPr>
          <w:p w14:paraId="57C3745F" w14:textId="77777777" w:rsidR="00E46C90" w:rsidRPr="00FF4480" w:rsidRDefault="00E46C90" w:rsidP="00E46C9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00543D34" w14:textId="133D9699" w:rsidR="00E46C90" w:rsidRDefault="00E46C90" w:rsidP="00E46C90">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3ABC9B74" w14:textId="3CC731A4" w:rsidR="00E46C90" w:rsidRDefault="00E46C90" w:rsidP="00E46C90">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70A48762" w14:textId="303B5A79" w:rsidR="00E46C90" w:rsidRPr="00E57466" w:rsidRDefault="00E46C90" w:rsidP="00E46C90">
            <w:pPr>
              <w:spacing w:before="120" w:after="120"/>
              <w:jc w:val="both"/>
              <w:rPr>
                <w:rFonts w:ascii="Times New Roman" w:hAnsi="Times New Roman" w:cs="Times New Roman"/>
                <w:sz w:val="20"/>
              </w:rPr>
            </w:pPr>
            <w:r w:rsidRPr="00E57466">
              <w:rPr>
                <w:rFonts w:ascii="Times New Roman" w:hAnsi="Times New Roman" w:cs="Times New Roman"/>
                <w:sz w:val="20"/>
              </w:rPr>
              <w:t>W związku z tym, że wyniku proponowanych w projekcie ustawy zmian zwiększy się liczba podmiotów profesjonalnych obowiązanych do zgłaszania danych i informacji Ubezpieczeniowemu Funduszowi Gwarancyjnemu (regulacją zostaną objęci również deweloperzy (i inne podmioty profesjonalne), którzy finansują inwestycje mieszkaniowe bez pośrednictwa rachunków powierniczych i w aktualnym stanie prawnym nie mają obowiązku zgłaszania UFG informacji związanych z transakcjami sprzedaży mieszkań należałoby doprecyzować, czy i w jakim zakresie zostaną zwiększone wymogi raportowania do UFG w stosunku do banków. Take ewentualne rozszerzenie przekazywania informacji przez bank musi posiadać umocowanie w ustawie – Prawo bankowe.</w:t>
            </w:r>
          </w:p>
        </w:tc>
        <w:tc>
          <w:tcPr>
            <w:tcW w:w="4160" w:type="dxa"/>
          </w:tcPr>
          <w:p w14:paraId="679B0590" w14:textId="77777777" w:rsidR="006175B1" w:rsidRPr="00AE21CB" w:rsidRDefault="006175B1" w:rsidP="006175B1">
            <w:pPr>
              <w:spacing w:before="120" w:after="120"/>
              <w:jc w:val="both"/>
              <w:rPr>
                <w:rFonts w:ascii="Times New Roman" w:hAnsi="Times New Roman" w:cs="Times New Roman"/>
                <w:sz w:val="20"/>
                <w:u w:val="single"/>
              </w:rPr>
            </w:pPr>
            <w:r w:rsidRPr="00AE21CB">
              <w:rPr>
                <w:rFonts w:ascii="Times New Roman" w:hAnsi="Times New Roman" w:cs="Times New Roman"/>
                <w:sz w:val="20"/>
                <w:u w:val="single"/>
              </w:rPr>
              <w:t>Komentarz do uwagi</w:t>
            </w:r>
          </w:p>
          <w:p w14:paraId="72EAA572" w14:textId="3F25D203" w:rsidR="00E46C90" w:rsidRPr="005D7262" w:rsidRDefault="00597C82" w:rsidP="00E46C90">
            <w:pPr>
              <w:spacing w:before="120" w:after="120"/>
              <w:jc w:val="both"/>
              <w:rPr>
                <w:rFonts w:ascii="Times New Roman" w:hAnsi="Times New Roman" w:cs="Times New Roman"/>
                <w:sz w:val="20"/>
              </w:rPr>
            </w:pPr>
            <w:r>
              <w:rPr>
                <w:rFonts w:ascii="Times New Roman" w:hAnsi="Times New Roman" w:cs="Times New Roman"/>
                <w:sz w:val="20"/>
              </w:rPr>
              <w:t>Rozszerzenie to dotyczy podmiotów funkcjonujących poza Ewidencją DFG. Nie wpłynie ono zatem na banki zaangażowane w raportowanie w związku z Ewidencją. Do zgłaszania danych i informacji obowiązan</w:t>
            </w:r>
            <w:r w:rsidR="0018335A">
              <w:rPr>
                <w:rFonts w:ascii="Times New Roman" w:hAnsi="Times New Roman" w:cs="Times New Roman"/>
                <w:sz w:val="20"/>
              </w:rPr>
              <w:t>i</w:t>
            </w:r>
            <w:r>
              <w:rPr>
                <w:rFonts w:ascii="Times New Roman" w:hAnsi="Times New Roman" w:cs="Times New Roman"/>
                <w:sz w:val="20"/>
              </w:rPr>
              <w:t xml:space="preserve"> będą, zgodnie z projektem ustawy, </w:t>
            </w:r>
            <w:r w:rsidR="005335AC">
              <w:rPr>
                <w:rFonts w:ascii="Times New Roman" w:hAnsi="Times New Roman" w:cs="Times New Roman"/>
                <w:sz w:val="20"/>
              </w:rPr>
              <w:t>sami deweloperzy i inne podmioty profesjonalne będące stroną umowy z nabywcą</w:t>
            </w:r>
            <w:r>
              <w:rPr>
                <w:rFonts w:ascii="Times New Roman" w:hAnsi="Times New Roman" w:cs="Times New Roman"/>
                <w:sz w:val="20"/>
              </w:rPr>
              <w:t>.</w:t>
            </w:r>
          </w:p>
        </w:tc>
      </w:tr>
      <w:tr w:rsidR="00E46C90" w:rsidRPr="00FF4480" w14:paraId="5EBC65E2" w14:textId="77777777" w:rsidTr="00E9565F">
        <w:trPr>
          <w:jc w:val="center"/>
        </w:trPr>
        <w:tc>
          <w:tcPr>
            <w:tcW w:w="554" w:type="dxa"/>
          </w:tcPr>
          <w:p w14:paraId="29A63B14" w14:textId="77777777" w:rsidR="00E46C90" w:rsidRPr="00FF4480" w:rsidRDefault="00E46C90" w:rsidP="00E46C9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69352C14" w14:textId="27072590" w:rsidR="00E46C90" w:rsidRDefault="00E46C90" w:rsidP="00E46C90">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37E8F5D9" w14:textId="5838BD22" w:rsidR="00E46C90" w:rsidRDefault="00E46C90" w:rsidP="00E46C90">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7F2C65F6" w14:textId="63450360" w:rsidR="00E46C90" w:rsidRPr="00E57466" w:rsidRDefault="00E46C90" w:rsidP="00E46C90">
            <w:pPr>
              <w:spacing w:before="120" w:after="120"/>
              <w:jc w:val="both"/>
              <w:rPr>
                <w:rFonts w:ascii="Times New Roman" w:hAnsi="Times New Roman" w:cs="Times New Roman"/>
                <w:sz w:val="20"/>
              </w:rPr>
            </w:pPr>
            <w:r w:rsidRPr="001839BB">
              <w:rPr>
                <w:rFonts w:ascii="Times New Roman" w:hAnsi="Times New Roman" w:cs="Times New Roman"/>
                <w:sz w:val="20"/>
              </w:rPr>
              <w:t>Cenną informacją byłoby rozbudowanie raportu o ceny min./max. w danej kategorii oraz rozkład cen w wybranej przez użytkownika próbie. Wskazane jest doprecyzowanie, czy pisząc o „średnich cenach transakcyjnych” ustawa mówi o cenach brutto czy netto.</w:t>
            </w:r>
          </w:p>
        </w:tc>
        <w:tc>
          <w:tcPr>
            <w:tcW w:w="4160" w:type="dxa"/>
          </w:tcPr>
          <w:p w14:paraId="1103FC57" w14:textId="78C2FD92" w:rsidR="00E44C41" w:rsidRPr="00216671" w:rsidRDefault="00216671" w:rsidP="00E44C41">
            <w:pPr>
              <w:spacing w:before="120" w:after="120"/>
              <w:jc w:val="both"/>
              <w:rPr>
                <w:rFonts w:ascii="Times New Roman" w:hAnsi="Times New Roman" w:cs="Times New Roman"/>
                <w:b/>
                <w:bCs/>
                <w:sz w:val="20"/>
              </w:rPr>
            </w:pPr>
            <w:r w:rsidRPr="00216671">
              <w:rPr>
                <w:rFonts w:ascii="Times New Roman" w:hAnsi="Times New Roman" w:cs="Times New Roman"/>
                <w:b/>
                <w:bCs/>
                <w:sz w:val="20"/>
              </w:rPr>
              <w:t>Uwaga nieuwzględniona</w:t>
            </w:r>
          </w:p>
          <w:p w14:paraId="43D7EEA3" w14:textId="1896384A" w:rsidR="00E46C90" w:rsidRDefault="00216671" w:rsidP="00E46C90">
            <w:pPr>
              <w:spacing w:before="120" w:after="120"/>
              <w:jc w:val="both"/>
              <w:rPr>
                <w:rFonts w:ascii="Times New Roman" w:hAnsi="Times New Roman" w:cs="Times New Roman"/>
                <w:sz w:val="20"/>
              </w:rPr>
            </w:pPr>
            <w:r w:rsidRPr="00216671">
              <w:rPr>
                <w:rFonts w:ascii="Times New Roman" w:hAnsi="Times New Roman" w:cs="Times New Roman"/>
                <w:sz w:val="20"/>
              </w:rPr>
              <w:t xml:space="preserve">Wprowadzenie </w:t>
            </w:r>
            <w:r>
              <w:rPr>
                <w:rFonts w:ascii="Times New Roman" w:hAnsi="Times New Roman" w:cs="Times New Roman"/>
                <w:sz w:val="20"/>
              </w:rPr>
              <w:t>takich rozwiązań powodowałoby osłabienie mechanizmu ochrony interesów stron poszczególnych transakcji</w:t>
            </w:r>
            <w:r w:rsidR="00FD4D6D">
              <w:rPr>
                <w:rFonts w:ascii="Times New Roman" w:hAnsi="Times New Roman" w:cs="Times New Roman"/>
                <w:sz w:val="20"/>
              </w:rPr>
              <w:t>, pozwoliłoby bowiem na ujawnienie danych wynikającej z pojedynczej transakcji, a co za tym idzie naruszyłoby np.</w:t>
            </w:r>
            <w:r w:rsidR="006A26B6">
              <w:rPr>
                <w:rFonts w:ascii="Times New Roman" w:hAnsi="Times New Roman" w:cs="Times New Roman"/>
                <w:sz w:val="20"/>
              </w:rPr>
              <w:t> </w:t>
            </w:r>
            <w:r w:rsidR="00FD4D6D">
              <w:rPr>
                <w:rFonts w:ascii="Times New Roman" w:hAnsi="Times New Roman" w:cs="Times New Roman"/>
                <w:sz w:val="20"/>
              </w:rPr>
              <w:t xml:space="preserve">prawo </w:t>
            </w:r>
            <w:r w:rsidR="006A26B6">
              <w:rPr>
                <w:rFonts w:ascii="Times New Roman" w:hAnsi="Times New Roman" w:cs="Times New Roman"/>
                <w:sz w:val="20"/>
              </w:rPr>
              <w:t xml:space="preserve">nabywcy </w:t>
            </w:r>
            <w:r w:rsidR="00FD4D6D">
              <w:rPr>
                <w:rFonts w:ascii="Times New Roman" w:hAnsi="Times New Roman" w:cs="Times New Roman"/>
                <w:sz w:val="20"/>
              </w:rPr>
              <w:t xml:space="preserve">do zachowania prywatności. </w:t>
            </w:r>
          </w:p>
          <w:p w14:paraId="6550904A" w14:textId="1DFD5C20" w:rsidR="00E44C41" w:rsidRPr="005D7262" w:rsidRDefault="00E44C41" w:rsidP="00E46C90">
            <w:pPr>
              <w:spacing w:before="120" w:after="120"/>
              <w:jc w:val="both"/>
              <w:rPr>
                <w:rFonts w:ascii="Times New Roman" w:hAnsi="Times New Roman" w:cs="Times New Roman"/>
                <w:sz w:val="20"/>
              </w:rPr>
            </w:pPr>
            <w:r>
              <w:rPr>
                <w:rFonts w:ascii="Times New Roman" w:hAnsi="Times New Roman" w:cs="Times New Roman"/>
                <w:sz w:val="20"/>
              </w:rPr>
              <w:t xml:space="preserve">Odnosząc się do ostatniego wątku, będą to ostateczne ceny płacone przez nabywców. </w:t>
            </w:r>
            <w:r w:rsidR="00E02D3E">
              <w:rPr>
                <w:rFonts w:ascii="Times New Roman" w:hAnsi="Times New Roman" w:cs="Times New Roman"/>
                <w:sz w:val="20"/>
              </w:rPr>
              <w:t xml:space="preserve">Niezależnie od powyższego, należy zauważyć, że projekt ustawy nie wprowadza do ustawy deweloperskiej odrębnej definicji ceny na potrzeby prowadzenia Portalu DOM. Zastosowanie będzie miała zatem terminologia stosowana w tej ustawie. Ustawa deweloperska nie posługuje się w tym zakresie </w:t>
            </w:r>
            <w:proofErr w:type="spellStart"/>
            <w:r w:rsidR="00E02D3E">
              <w:rPr>
                <w:rFonts w:ascii="Times New Roman" w:hAnsi="Times New Roman" w:cs="Times New Roman"/>
                <w:sz w:val="20"/>
              </w:rPr>
              <w:t>dookreśleniami</w:t>
            </w:r>
            <w:proofErr w:type="spellEnd"/>
            <w:r w:rsidR="00E02D3E">
              <w:rPr>
                <w:rFonts w:ascii="Times New Roman" w:hAnsi="Times New Roman" w:cs="Times New Roman"/>
                <w:sz w:val="20"/>
              </w:rPr>
              <w:t xml:space="preserve"> wskazanymi przez </w:t>
            </w:r>
            <w:proofErr w:type="spellStart"/>
            <w:r w:rsidR="00E02D3E">
              <w:rPr>
                <w:rFonts w:ascii="Times New Roman" w:hAnsi="Times New Roman" w:cs="Times New Roman"/>
                <w:sz w:val="20"/>
              </w:rPr>
              <w:t>Uwagodawcę</w:t>
            </w:r>
            <w:proofErr w:type="spellEnd"/>
            <w:r w:rsidR="00E02D3E">
              <w:rPr>
                <w:rFonts w:ascii="Times New Roman" w:hAnsi="Times New Roman" w:cs="Times New Roman"/>
                <w:sz w:val="20"/>
              </w:rPr>
              <w:t>.</w:t>
            </w:r>
          </w:p>
        </w:tc>
      </w:tr>
      <w:tr w:rsidR="00E46C90" w:rsidRPr="00FF4480" w14:paraId="493F608D" w14:textId="77777777" w:rsidTr="00E9565F">
        <w:trPr>
          <w:jc w:val="center"/>
        </w:trPr>
        <w:tc>
          <w:tcPr>
            <w:tcW w:w="554" w:type="dxa"/>
          </w:tcPr>
          <w:p w14:paraId="7248307F" w14:textId="77777777" w:rsidR="00E46C90" w:rsidRPr="00FF4480" w:rsidRDefault="00E46C90" w:rsidP="00E46C90">
            <w:pPr>
              <w:pStyle w:val="Akapitzlist"/>
              <w:numPr>
                <w:ilvl w:val="0"/>
                <w:numId w:val="9"/>
              </w:numPr>
              <w:spacing w:before="120"/>
              <w:ind w:left="36" w:right="-534" w:firstLine="0"/>
              <w:jc w:val="center"/>
              <w:rPr>
                <w:rFonts w:ascii="Times New Roman" w:hAnsi="Times New Roman" w:cs="Times New Roman"/>
                <w:b/>
                <w:sz w:val="20"/>
              </w:rPr>
            </w:pPr>
          </w:p>
        </w:tc>
        <w:tc>
          <w:tcPr>
            <w:tcW w:w="1931" w:type="dxa"/>
            <w:vAlign w:val="center"/>
          </w:tcPr>
          <w:p w14:paraId="5679708C" w14:textId="687AEC4E" w:rsidR="00E46C90" w:rsidRDefault="00E46C90" w:rsidP="00E46C90">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0BDF80CE" w14:textId="4EC85443" w:rsidR="00E46C90" w:rsidRDefault="00E46C90" w:rsidP="00E46C90">
            <w:pPr>
              <w:spacing w:before="120" w:after="120"/>
              <w:jc w:val="center"/>
              <w:rPr>
                <w:rFonts w:ascii="Times New Roman" w:hAnsi="Times New Roman" w:cs="Times New Roman"/>
                <w:sz w:val="20"/>
              </w:rPr>
            </w:pPr>
            <w:r>
              <w:rPr>
                <w:rFonts w:ascii="Times New Roman" w:hAnsi="Times New Roman" w:cs="Times New Roman"/>
                <w:sz w:val="20"/>
              </w:rPr>
              <w:t>-</w:t>
            </w:r>
          </w:p>
        </w:tc>
        <w:tc>
          <w:tcPr>
            <w:tcW w:w="5670" w:type="dxa"/>
            <w:vAlign w:val="center"/>
          </w:tcPr>
          <w:p w14:paraId="185D1F6D" w14:textId="4BE6EC45" w:rsidR="00E46C90" w:rsidRPr="001839BB" w:rsidRDefault="00E46C90" w:rsidP="00E46C90">
            <w:pPr>
              <w:spacing w:before="120" w:after="120"/>
              <w:jc w:val="both"/>
              <w:rPr>
                <w:rFonts w:ascii="Times New Roman" w:hAnsi="Times New Roman" w:cs="Times New Roman"/>
                <w:sz w:val="20"/>
              </w:rPr>
            </w:pPr>
            <w:r w:rsidRPr="001839BB">
              <w:rPr>
                <w:rFonts w:ascii="Times New Roman" w:hAnsi="Times New Roman" w:cs="Times New Roman"/>
                <w:sz w:val="20"/>
              </w:rPr>
              <w:t xml:space="preserve">Poza typowo komercyjnymi bazami danych o cenach na rynku nieruchomości na rynku występują również inne inicjatywy/ projekty publiczne posiadające w swoim zakresie informację o cenach średnich – np. warstwy cenowe w </w:t>
            </w:r>
            <w:proofErr w:type="spellStart"/>
            <w:r w:rsidRPr="001839BB">
              <w:rPr>
                <w:rFonts w:ascii="Times New Roman" w:hAnsi="Times New Roman" w:cs="Times New Roman"/>
                <w:sz w:val="20"/>
              </w:rPr>
              <w:t>Geoportalu</w:t>
            </w:r>
            <w:proofErr w:type="spellEnd"/>
            <w:r w:rsidRPr="001839BB">
              <w:rPr>
                <w:rFonts w:ascii="Times New Roman" w:hAnsi="Times New Roman" w:cs="Times New Roman"/>
                <w:sz w:val="20"/>
              </w:rPr>
              <w:t xml:space="preserve"> czy portal ZSIN (chyba słabo rozwijany). Czy nie jest zasadna integracja tego </w:t>
            </w:r>
            <w:r w:rsidRPr="001839BB">
              <w:rPr>
                <w:rFonts w:ascii="Times New Roman" w:hAnsi="Times New Roman" w:cs="Times New Roman"/>
                <w:sz w:val="20"/>
              </w:rPr>
              <w:lastRenderedPageBreak/>
              <w:t>typu inicjatyw i budowa rozwiązania pokrywającego szerszy zakres typów nieruchomości oraz skierowanego do szerszego grona odbiorców (jako odbiorców)?</w:t>
            </w:r>
          </w:p>
        </w:tc>
        <w:tc>
          <w:tcPr>
            <w:tcW w:w="4160" w:type="dxa"/>
          </w:tcPr>
          <w:p w14:paraId="00384BE4" w14:textId="77777777" w:rsidR="00E46C90" w:rsidRPr="00216671" w:rsidRDefault="00216671" w:rsidP="00E46C90">
            <w:pPr>
              <w:spacing w:before="120" w:after="120"/>
              <w:jc w:val="both"/>
              <w:rPr>
                <w:rFonts w:ascii="Times New Roman" w:hAnsi="Times New Roman" w:cs="Times New Roman"/>
                <w:sz w:val="20"/>
                <w:u w:val="single"/>
              </w:rPr>
            </w:pPr>
            <w:r w:rsidRPr="00216671">
              <w:rPr>
                <w:rFonts w:ascii="Times New Roman" w:hAnsi="Times New Roman" w:cs="Times New Roman"/>
                <w:sz w:val="20"/>
                <w:u w:val="single"/>
              </w:rPr>
              <w:lastRenderedPageBreak/>
              <w:t>Komentarz do uwagi</w:t>
            </w:r>
          </w:p>
          <w:p w14:paraId="478B621A" w14:textId="7A6C196A" w:rsidR="00216671" w:rsidRPr="005D7262" w:rsidRDefault="00D82404" w:rsidP="00E46C90">
            <w:pPr>
              <w:spacing w:before="120" w:after="120"/>
              <w:jc w:val="both"/>
              <w:rPr>
                <w:rFonts w:ascii="Times New Roman" w:hAnsi="Times New Roman" w:cs="Times New Roman"/>
                <w:sz w:val="20"/>
              </w:rPr>
            </w:pPr>
            <w:r>
              <w:rPr>
                <w:rFonts w:ascii="Times New Roman" w:hAnsi="Times New Roman" w:cs="Times New Roman"/>
                <w:sz w:val="20"/>
              </w:rPr>
              <w:t xml:space="preserve">Portal DOM został zaprojektowany w konkretnych celach </w:t>
            </w:r>
            <w:proofErr w:type="spellStart"/>
            <w:r>
              <w:rPr>
                <w:rFonts w:ascii="Times New Roman" w:hAnsi="Times New Roman" w:cs="Times New Roman"/>
                <w:sz w:val="20"/>
              </w:rPr>
              <w:t>promieszkaniowych</w:t>
            </w:r>
            <w:proofErr w:type="spellEnd"/>
            <w:r w:rsidR="002074DB">
              <w:rPr>
                <w:rFonts w:ascii="Times New Roman" w:hAnsi="Times New Roman" w:cs="Times New Roman"/>
                <w:sz w:val="20"/>
              </w:rPr>
              <w:t>, związanych co do zasady z ochroną nabywców</w:t>
            </w:r>
            <w:r w:rsidR="006A26B6">
              <w:rPr>
                <w:rFonts w:ascii="Times New Roman" w:hAnsi="Times New Roman" w:cs="Times New Roman"/>
                <w:sz w:val="20"/>
              </w:rPr>
              <w:t>.</w:t>
            </w:r>
            <w:r>
              <w:rPr>
                <w:rFonts w:ascii="Times New Roman" w:hAnsi="Times New Roman" w:cs="Times New Roman"/>
                <w:sz w:val="20"/>
              </w:rPr>
              <w:t xml:space="preserve"> Na razie nie przewiduje się integracji Portalu </w:t>
            </w:r>
            <w:r>
              <w:rPr>
                <w:rFonts w:ascii="Times New Roman" w:hAnsi="Times New Roman" w:cs="Times New Roman"/>
                <w:sz w:val="20"/>
              </w:rPr>
              <w:lastRenderedPageBreak/>
              <w:t>z funkcjonalnościami innych powszechnie dostępnych narzędzi.</w:t>
            </w:r>
          </w:p>
        </w:tc>
      </w:tr>
      <w:tr w:rsidR="00E46C90" w:rsidRPr="00FF4480" w14:paraId="3139401D" w14:textId="77777777" w:rsidTr="002F40D5">
        <w:trPr>
          <w:jc w:val="center"/>
        </w:trPr>
        <w:tc>
          <w:tcPr>
            <w:tcW w:w="14220" w:type="dxa"/>
            <w:gridSpan w:val="5"/>
            <w:shd w:val="clear" w:color="auto" w:fill="C6D9F1" w:themeFill="text2" w:themeFillTint="33"/>
          </w:tcPr>
          <w:p w14:paraId="6E82F68C" w14:textId="77777777" w:rsidR="00E46C90" w:rsidRPr="00E35677" w:rsidRDefault="00E46C90" w:rsidP="00E46C90">
            <w:pPr>
              <w:spacing w:before="120" w:after="120"/>
              <w:jc w:val="center"/>
              <w:rPr>
                <w:rFonts w:ascii="Times New Roman" w:hAnsi="Times New Roman" w:cs="Times New Roman"/>
                <w:i/>
                <w:sz w:val="20"/>
              </w:rPr>
            </w:pPr>
            <w:r w:rsidRPr="00865AF4">
              <w:rPr>
                <w:rFonts w:ascii="Times New Roman" w:hAnsi="Times New Roman" w:cs="Times New Roman"/>
                <w:b/>
                <w:bCs/>
                <w:color w:val="000000" w:themeColor="text1"/>
                <w:sz w:val="24"/>
                <w:szCs w:val="24"/>
              </w:rPr>
              <w:lastRenderedPageBreak/>
              <w:t>Uwagi do projektu ustawy</w:t>
            </w:r>
          </w:p>
        </w:tc>
      </w:tr>
      <w:tr w:rsidR="00E46C90" w:rsidRPr="00FF4480" w14:paraId="4E5273B7" w14:textId="77777777" w:rsidTr="00E9565F">
        <w:trPr>
          <w:jc w:val="center"/>
        </w:trPr>
        <w:tc>
          <w:tcPr>
            <w:tcW w:w="554" w:type="dxa"/>
          </w:tcPr>
          <w:p w14:paraId="130BDB54" w14:textId="77777777" w:rsidR="00E46C90" w:rsidRPr="00FF4480" w:rsidRDefault="00E46C90" w:rsidP="00E46C90">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48E9E20F" w14:textId="207DA34A" w:rsidR="00E46C90" w:rsidRPr="007816AF" w:rsidRDefault="00E46C90" w:rsidP="00E46C90">
            <w:pPr>
              <w:spacing w:before="120" w:after="120"/>
              <w:rPr>
                <w:rFonts w:ascii="Times New Roman" w:hAnsi="Times New Roman" w:cs="Times New Roman"/>
                <w:sz w:val="20"/>
                <w:szCs w:val="20"/>
              </w:rPr>
            </w:pPr>
            <w:r>
              <w:rPr>
                <w:rFonts w:ascii="Times New Roman" w:hAnsi="Times New Roman" w:cs="Times New Roman"/>
                <w:sz w:val="20"/>
                <w:szCs w:val="20"/>
              </w:rPr>
              <w:t>Polski Związek Pracodawców Budownictwa</w:t>
            </w:r>
          </w:p>
        </w:tc>
        <w:tc>
          <w:tcPr>
            <w:tcW w:w="1905" w:type="dxa"/>
            <w:vAlign w:val="center"/>
          </w:tcPr>
          <w:p w14:paraId="4F922A4C" w14:textId="4612FB0C" w:rsidR="00E46C90" w:rsidRPr="007816AF" w:rsidRDefault="00E46C90" w:rsidP="00E46C90">
            <w:pPr>
              <w:spacing w:before="120" w:after="120"/>
              <w:jc w:val="center"/>
              <w:rPr>
                <w:rFonts w:ascii="Times New Roman" w:hAnsi="Times New Roman" w:cs="Times New Roman"/>
                <w:sz w:val="20"/>
                <w:szCs w:val="20"/>
              </w:rPr>
            </w:pPr>
            <w:r>
              <w:rPr>
                <w:rFonts w:ascii="Times New Roman" w:hAnsi="Times New Roman" w:cs="Times New Roman"/>
                <w:sz w:val="20"/>
                <w:szCs w:val="20"/>
              </w:rPr>
              <w:t>Art. 1 pkt 2</w:t>
            </w:r>
          </w:p>
        </w:tc>
        <w:tc>
          <w:tcPr>
            <w:tcW w:w="5670" w:type="dxa"/>
            <w:vAlign w:val="center"/>
          </w:tcPr>
          <w:p w14:paraId="2B021251" w14:textId="411BA227" w:rsidR="00E46C90" w:rsidRPr="00D85CE9" w:rsidRDefault="00E46C90" w:rsidP="00E46C90">
            <w:pPr>
              <w:spacing w:before="120" w:after="120"/>
              <w:jc w:val="both"/>
              <w:rPr>
                <w:rFonts w:ascii="Times New Roman" w:hAnsi="Times New Roman" w:cs="Times New Roman"/>
                <w:sz w:val="20"/>
              </w:rPr>
            </w:pPr>
            <w:r w:rsidRPr="00D85CE9">
              <w:rPr>
                <w:rFonts w:ascii="Times New Roman" w:hAnsi="Times New Roman" w:cs="Times New Roman"/>
                <w:sz w:val="20"/>
              </w:rPr>
              <w:t xml:space="preserve">Portal DOM będzie prowadzony przez Ubezpieczeniowy Fundusz Gwarancyjny (UFG), a koszty utworzenia i funkcjonowania Portalu DOM będą pokrywane ze środków gromadzonych w Deweloperskim Funduszu Gwarancyjnym (DFG). </w:t>
            </w:r>
          </w:p>
          <w:p w14:paraId="5F057704" w14:textId="5C287D3F" w:rsidR="00E46C90" w:rsidRPr="00D85CE9" w:rsidRDefault="00E46C90" w:rsidP="00E46C90">
            <w:pPr>
              <w:spacing w:before="120" w:after="120"/>
              <w:jc w:val="both"/>
              <w:rPr>
                <w:rFonts w:ascii="Times New Roman" w:hAnsi="Times New Roman" w:cs="Times New Roman"/>
                <w:sz w:val="20"/>
              </w:rPr>
            </w:pPr>
            <w:r w:rsidRPr="00D85CE9">
              <w:rPr>
                <w:rFonts w:ascii="Times New Roman" w:hAnsi="Times New Roman" w:cs="Times New Roman"/>
                <w:sz w:val="20"/>
              </w:rPr>
              <w:t>Dotychczas środki gromadzone na DFG miały służyć zabezpieczeniu wpłat nabywców lokali. Zgodnie z ustawą z dnia 20 maja 2021 r. o ochronie praw nabywcy lokalu mieszkalnego lub domu jednorodzinnego oraz Deweloperskim Funduszu Gwarancyjnym, DFG stanowi jeden z istotnych elementów zapewniających skuteczność systemu, mających na celu wprowadzenie dodatkowych zabezpieczeń środków nabywcy gromadzonych na otwartym mieszkaniowym rachunku powierniczym na wypadek upadłości dewelopera, a gwarancją wypłaty z DFG są objęte wszystkie umowy zawierane przez dewelopera z nabywcą, na podstawie których nabywca ma obowiązek wpłacać środki na mieszkaniowy rachunek powierniczy.</w:t>
            </w:r>
          </w:p>
          <w:p w14:paraId="79E315AE" w14:textId="77777777" w:rsidR="00E46C90" w:rsidRPr="00D85CE9" w:rsidRDefault="00E46C90" w:rsidP="00E46C90">
            <w:pPr>
              <w:spacing w:before="120" w:after="120"/>
              <w:jc w:val="both"/>
              <w:rPr>
                <w:rFonts w:ascii="Times New Roman" w:hAnsi="Times New Roman" w:cs="Times New Roman"/>
                <w:sz w:val="20"/>
              </w:rPr>
            </w:pPr>
            <w:r w:rsidRPr="00D85CE9">
              <w:rPr>
                <w:rFonts w:ascii="Times New Roman" w:hAnsi="Times New Roman" w:cs="Times New Roman"/>
                <w:sz w:val="20"/>
              </w:rPr>
              <w:t>Aktualna propozycja nie jest zgodna z tym celem, gdyż część środków służących ochronie wpłat nabywców, będzie przeznaczona na stworzenie i obsługę powszechnego portalu informacyjnego niezwiązanego z funkcją ochrony, który ma służyć również rejestracji transakcji z rynku wtórnego.</w:t>
            </w:r>
          </w:p>
          <w:p w14:paraId="356D7F13" w14:textId="6FEB294E" w:rsidR="00E46C90" w:rsidRPr="007816AF" w:rsidRDefault="00E46C90" w:rsidP="00E46C90">
            <w:pPr>
              <w:spacing w:before="120" w:after="120"/>
              <w:jc w:val="both"/>
              <w:rPr>
                <w:rFonts w:ascii="Times New Roman" w:hAnsi="Times New Roman" w:cs="Times New Roman"/>
                <w:sz w:val="20"/>
                <w:szCs w:val="20"/>
              </w:rPr>
            </w:pPr>
            <w:r w:rsidRPr="00D85CE9">
              <w:rPr>
                <w:rFonts w:ascii="Times New Roman" w:hAnsi="Times New Roman" w:cs="Times New Roman"/>
                <w:sz w:val="20"/>
              </w:rPr>
              <w:t>Jeżeli aktualnie ustalony i obowiązujący poziom składek ma zapewnić bezpieczeństwo systemu, to pojawia się wątpliwość, czy zabranie z niego części środków nie spowoduje konieczności podwyższania składek na DFG opłacanych przez deweloperów w dalszej perspektywie.</w:t>
            </w:r>
          </w:p>
        </w:tc>
        <w:tc>
          <w:tcPr>
            <w:tcW w:w="4160" w:type="dxa"/>
          </w:tcPr>
          <w:p w14:paraId="023DF4B3" w14:textId="77777777" w:rsidR="00A402E5" w:rsidRPr="00216671" w:rsidRDefault="00A402E5" w:rsidP="00A402E5">
            <w:pPr>
              <w:spacing w:before="120" w:after="120"/>
              <w:jc w:val="both"/>
              <w:rPr>
                <w:rFonts w:ascii="Times New Roman" w:hAnsi="Times New Roman" w:cs="Times New Roman"/>
                <w:sz w:val="20"/>
                <w:u w:val="single"/>
              </w:rPr>
            </w:pPr>
            <w:r w:rsidRPr="00216671">
              <w:rPr>
                <w:rFonts w:ascii="Times New Roman" w:hAnsi="Times New Roman" w:cs="Times New Roman"/>
                <w:sz w:val="20"/>
                <w:u w:val="single"/>
              </w:rPr>
              <w:t>Komentarz do uwagi</w:t>
            </w:r>
          </w:p>
          <w:p w14:paraId="579E1607" w14:textId="7197359F" w:rsidR="003F480C" w:rsidRDefault="00A402E5" w:rsidP="003F480C">
            <w:pPr>
              <w:spacing w:before="120" w:after="120"/>
              <w:jc w:val="both"/>
              <w:rPr>
                <w:rFonts w:ascii="Times New Roman" w:hAnsi="Times New Roman" w:cs="Times New Roman"/>
                <w:sz w:val="20"/>
              </w:rPr>
            </w:pPr>
            <w:r>
              <w:rPr>
                <w:rFonts w:ascii="Times New Roman" w:hAnsi="Times New Roman" w:cs="Times New Roman"/>
                <w:sz w:val="20"/>
              </w:rPr>
              <w:t xml:space="preserve">Portal DOM ma stanowić kolejne narzędzie ochrony nabywców nieruchomości mieszkaniowych. </w:t>
            </w:r>
            <w:r w:rsidRPr="00A402E5">
              <w:rPr>
                <w:rFonts w:ascii="Times New Roman" w:hAnsi="Times New Roman" w:cs="Times New Roman"/>
                <w:sz w:val="20"/>
              </w:rPr>
              <w:t xml:space="preserve">Obawy Polskiego Związku Pracodawców Budownictwa należy uznać za nieuzasadnione. </w:t>
            </w:r>
            <w:r w:rsidR="003F480C" w:rsidRPr="003F480C">
              <w:rPr>
                <w:rFonts w:ascii="Times New Roman" w:hAnsi="Times New Roman" w:cs="Times New Roman"/>
                <w:sz w:val="20"/>
              </w:rPr>
              <w:t>Szacunki, które posiada Ministerstwo Rozwoju i Technologii, dotyczące kosztów Portalu DOM, nie dają podstawy do twierdzenia o zaistnieniu w praktyce ryzyka utraty płynności przez Deweloperski Fundusz Gwarancyjny z powodu ponoszenia kosztów funkcjonowania Portalu, a tym samym o</w:t>
            </w:r>
            <w:r w:rsidR="003F480C">
              <w:rPr>
                <w:rFonts w:ascii="Times New Roman" w:hAnsi="Times New Roman" w:cs="Times New Roman"/>
                <w:sz w:val="20"/>
              </w:rPr>
              <w:t> </w:t>
            </w:r>
            <w:r w:rsidR="003F480C" w:rsidRPr="003F480C">
              <w:rPr>
                <w:rFonts w:ascii="Times New Roman" w:hAnsi="Times New Roman" w:cs="Times New Roman"/>
                <w:sz w:val="20"/>
              </w:rPr>
              <w:t xml:space="preserve">wygenerowaniu z tego powodu </w:t>
            </w:r>
            <w:proofErr w:type="spellStart"/>
            <w:r w:rsidR="003F480C" w:rsidRPr="003F480C">
              <w:rPr>
                <w:rFonts w:ascii="Times New Roman" w:hAnsi="Times New Roman" w:cs="Times New Roman"/>
                <w:sz w:val="20"/>
              </w:rPr>
              <w:t>ryzyk</w:t>
            </w:r>
            <w:proofErr w:type="spellEnd"/>
            <w:r w:rsidR="003F480C" w:rsidRPr="003F480C">
              <w:rPr>
                <w:rFonts w:ascii="Times New Roman" w:hAnsi="Times New Roman" w:cs="Times New Roman"/>
                <w:sz w:val="20"/>
              </w:rPr>
              <w:t xml:space="preserve"> dla nabywców. Według danych na koniec III</w:t>
            </w:r>
            <w:r w:rsidR="003F480C">
              <w:rPr>
                <w:rFonts w:ascii="Times New Roman" w:hAnsi="Times New Roman" w:cs="Times New Roman"/>
                <w:sz w:val="20"/>
              </w:rPr>
              <w:t> </w:t>
            </w:r>
            <w:r w:rsidR="003F480C" w:rsidRPr="003F480C">
              <w:rPr>
                <w:rFonts w:ascii="Times New Roman" w:hAnsi="Times New Roman" w:cs="Times New Roman"/>
                <w:sz w:val="20"/>
              </w:rPr>
              <w:t>kwartału 2024 r., wolne środki Funduszu wynosiły 95,3 mln zł, zaś koszty poniesione na</w:t>
            </w:r>
            <w:r w:rsidR="00735D9B">
              <w:rPr>
                <w:rFonts w:ascii="Times New Roman" w:hAnsi="Times New Roman" w:cs="Times New Roman"/>
                <w:sz w:val="20"/>
              </w:rPr>
              <w:t> </w:t>
            </w:r>
            <w:r w:rsidR="003F480C" w:rsidRPr="003F480C">
              <w:rPr>
                <w:rFonts w:ascii="Times New Roman" w:hAnsi="Times New Roman" w:cs="Times New Roman"/>
                <w:sz w:val="20"/>
              </w:rPr>
              <w:t xml:space="preserve">realizację ustawowych zadań Funduszu </w:t>
            </w:r>
            <w:r w:rsidR="00735D9B" w:rsidRPr="00735D9B">
              <w:rPr>
                <w:rFonts w:ascii="Times New Roman" w:hAnsi="Times New Roman" w:cs="Times New Roman"/>
                <w:sz w:val="20"/>
              </w:rPr>
              <w:t>–</w:t>
            </w:r>
            <w:r w:rsidR="00735D9B">
              <w:rPr>
                <w:rFonts w:ascii="Times New Roman" w:hAnsi="Times New Roman" w:cs="Times New Roman"/>
                <w:sz w:val="20"/>
              </w:rPr>
              <w:t xml:space="preserve"> </w:t>
            </w:r>
            <w:r w:rsidR="003F480C" w:rsidRPr="003F480C">
              <w:rPr>
                <w:rFonts w:ascii="Times New Roman" w:hAnsi="Times New Roman" w:cs="Times New Roman"/>
                <w:sz w:val="20"/>
              </w:rPr>
              <w:t>2,2</w:t>
            </w:r>
            <w:r w:rsidR="00735D9B">
              <w:rPr>
                <w:rFonts w:ascii="Times New Roman" w:hAnsi="Times New Roman" w:cs="Times New Roman"/>
                <w:sz w:val="20"/>
              </w:rPr>
              <w:t> </w:t>
            </w:r>
            <w:r w:rsidR="003F480C" w:rsidRPr="003F480C">
              <w:rPr>
                <w:rFonts w:ascii="Times New Roman" w:hAnsi="Times New Roman" w:cs="Times New Roman"/>
                <w:sz w:val="20"/>
              </w:rPr>
              <w:t>mln zł.  Ponadto w celu pozyskania środków na uruchomienie Portalu DOM – jak wskazano w</w:t>
            </w:r>
            <w:r w:rsidR="003F480C">
              <w:rPr>
                <w:rFonts w:ascii="Times New Roman" w:hAnsi="Times New Roman" w:cs="Times New Roman"/>
                <w:sz w:val="20"/>
              </w:rPr>
              <w:t> </w:t>
            </w:r>
            <w:r w:rsidR="003F480C" w:rsidRPr="003F480C">
              <w:rPr>
                <w:rFonts w:ascii="Times New Roman" w:hAnsi="Times New Roman" w:cs="Times New Roman"/>
                <w:sz w:val="20"/>
              </w:rPr>
              <w:t>OSR – UFG zamierza wystąpić o</w:t>
            </w:r>
            <w:r w:rsidR="003F480C">
              <w:rPr>
                <w:rFonts w:ascii="Times New Roman" w:hAnsi="Times New Roman" w:cs="Times New Roman"/>
                <w:sz w:val="20"/>
              </w:rPr>
              <w:t> </w:t>
            </w:r>
            <w:r w:rsidR="003F480C" w:rsidRPr="003F480C">
              <w:rPr>
                <w:rFonts w:ascii="Times New Roman" w:hAnsi="Times New Roman" w:cs="Times New Roman"/>
                <w:sz w:val="20"/>
              </w:rPr>
              <w:t>dofinansowanie ze środków europejskich (Fundusze Europejskie na Rozwój Cyfrowy 2021-2027).</w:t>
            </w:r>
          </w:p>
          <w:p w14:paraId="44B0D119" w14:textId="50F0F951" w:rsidR="00A402E5" w:rsidRPr="00DD4933" w:rsidRDefault="00116862" w:rsidP="00A402E5">
            <w:pPr>
              <w:spacing w:before="120" w:after="120"/>
              <w:jc w:val="both"/>
              <w:rPr>
                <w:rFonts w:ascii="Times New Roman" w:hAnsi="Times New Roman" w:cs="Times New Roman"/>
                <w:sz w:val="20"/>
              </w:rPr>
            </w:pPr>
            <w:r>
              <w:rPr>
                <w:rFonts w:ascii="Times New Roman" w:hAnsi="Times New Roman" w:cs="Times New Roman"/>
                <w:sz w:val="20"/>
              </w:rPr>
              <w:t>Dodatkowo, nie zakłada się, żeby projektowane rozwiązania wpłynęły na zmianę wysokości składek wpłacanych do DFG.</w:t>
            </w:r>
          </w:p>
        </w:tc>
      </w:tr>
      <w:tr w:rsidR="00E46C90" w:rsidRPr="00FF4480" w14:paraId="5A825505" w14:textId="77777777" w:rsidTr="00E9565F">
        <w:trPr>
          <w:jc w:val="center"/>
        </w:trPr>
        <w:tc>
          <w:tcPr>
            <w:tcW w:w="554" w:type="dxa"/>
          </w:tcPr>
          <w:p w14:paraId="335BA34F" w14:textId="77777777" w:rsidR="00E46C90" w:rsidRPr="00FF4480" w:rsidRDefault="00E46C90" w:rsidP="00E46C90">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D94CFB6" w14:textId="65BD34A6" w:rsidR="00E46C90" w:rsidRDefault="00E46C90" w:rsidP="00E46C90">
            <w:pPr>
              <w:spacing w:before="120" w:after="120"/>
              <w:rPr>
                <w:rFonts w:ascii="Times New Roman" w:hAnsi="Times New Roman" w:cs="Times New Roman"/>
                <w:sz w:val="20"/>
                <w:szCs w:val="20"/>
              </w:rPr>
            </w:pPr>
            <w:r>
              <w:rPr>
                <w:rFonts w:ascii="Times New Roman" w:hAnsi="Times New Roman" w:cs="Times New Roman"/>
                <w:sz w:val="20"/>
                <w:szCs w:val="20"/>
              </w:rPr>
              <w:t>Związek Rewizyjny Spółdzielni Mieszkaniowych RP</w:t>
            </w:r>
          </w:p>
        </w:tc>
        <w:tc>
          <w:tcPr>
            <w:tcW w:w="1905" w:type="dxa"/>
            <w:vAlign w:val="center"/>
          </w:tcPr>
          <w:p w14:paraId="30F153EE" w14:textId="46900111" w:rsidR="00E46C90" w:rsidRDefault="00E46C90" w:rsidP="00E46C90">
            <w:pPr>
              <w:spacing w:before="120" w:after="120"/>
              <w:jc w:val="center"/>
              <w:rPr>
                <w:rFonts w:ascii="Times New Roman" w:hAnsi="Times New Roman" w:cs="Times New Roman"/>
                <w:sz w:val="20"/>
                <w:szCs w:val="20"/>
              </w:rPr>
            </w:pPr>
            <w:r w:rsidRPr="00E861F3">
              <w:rPr>
                <w:rFonts w:ascii="Times New Roman" w:hAnsi="Times New Roman" w:cs="Times New Roman"/>
                <w:sz w:val="20"/>
                <w:szCs w:val="20"/>
              </w:rPr>
              <w:t>Art. 1 pkt 2</w:t>
            </w:r>
          </w:p>
        </w:tc>
        <w:tc>
          <w:tcPr>
            <w:tcW w:w="5670" w:type="dxa"/>
            <w:vAlign w:val="center"/>
          </w:tcPr>
          <w:p w14:paraId="32A122D0" w14:textId="141F0D92" w:rsidR="00E46C90" w:rsidRPr="006F7481" w:rsidRDefault="00E46C90" w:rsidP="00E46C90">
            <w:pPr>
              <w:spacing w:before="120" w:after="120"/>
              <w:jc w:val="both"/>
              <w:rPr>
                <w:rFonts w:ascii="Times New Roman" w:hAnsi="Times New Roman" w:cs="Times New Roman"/>
                <w:sz w:val="20"/>
              </w:rPr>
            </w:pPr>
            <w:r w:rsidRPr="006F7481">
              <w:rPr>
                <w:rFonts w:ascii="Times New Roman" w:hAnsi="Times New Roman" w:cs="Times New Roman"/>
                <w:sz w:val="20"/>
              </w:rPr>
              <w:t xml:space="preserve">W projekcie ustawy w art. 1 pkt. 2 w art. 48 dodaje się ust. 10 w brzmieniu:„10. Ze środków Funduszu pokrywa się koszty związane z prowadzeniem Portalu Danych o Obrocie Mieszkaniami, o którym mowa w rozdziale 8a,zwanego dalej „ Portalem DOM". Natomiast </w:t>
            </w:r>
            <w:r w:rsidRPr="006F7481">
              <w:rPr>
                <w:rFonts w:ascii="Times New Roman" w:hAnsi="Times New Roman" w:cs="Times New Roman"/>
                <w:sz w:val="20"/>
              </w:rPr>
              <w:lastRenderedPageBreak/>
              <w:t>w uzasadnieniu do projektu ustawy wskazano, iż: „Realizacja zadania prowadzenia (a zatem utworzenia, utrzymania i rozwijania) Portalu DOM wiąże się dla UFG z dodatkowymi kosztami finansowymi. Mając na względzie fakt, że Portal DOM ma służyć ochronie praw nabywców mieszkań, a jego budowa będzie dokonywana w szczególności w oparciu o struktury informacyjne prowadzonej przez UFG Ewidencji Deweloperskiego Funduszu Gwarancyjnego, w art. 1 pkt 2 proponuje się uzupełnienie art 48 ustawy deweloperskiej o wskazanie, że wspomniane wyżej koszty będą finansowane ze środków Deweloperskiego Funduszu Gwarancyjnego. Na te koszty będą się składać zarówno koszty związane z utworzeniem Portalu DOM, jak i koszty jego bieżącego prowadzenia. Z tego względu przepis dotyczący ponoszenia tych kosztów przez DFG wchodzi w życie z dniem następującym po dniu ogłoszenia ustawy, co ma umożliwić ponoszenie kosztów tworzenia Portalu przed osiągnięciem przez niego pełnej funkcjonalności. Nie przewiduje się kosztów w tym przedmiocie po stronie budżetu państwa. "W ocenie ZRSM RP przedmiotowa regulacja będzie miała w ostatecznym rozrachunku negatywny wpływ na ceny nowobudowanych mieszkań, a więc odniesie odwrotny skutek względem celu niniejszego projektu ustawy. Zgodnie z art. 47 ust. 2 zmienianej ustawy środki zdeponowane na rachunku Deweloperskiego Funduszu Gwarancyjnego pochodzą głównie ze składek uiszczanych przez deweloperów w wysokości ustalonej w art. 49 zmienianej ustawy. Projekt zakłada pełne finansowanie powstania, działania i rozwijania portalu z tych środków. Oczywistym więc jest, iż będzie stanowiło to istotny i stały koszt dla Funduszu, który może doprowadzić do niedoboru środków w tym Funduszu, co z kolei spowoduje konieczność podniesienia deweloperom składek i będzie stanowiło dodatkowy koszt budowy mieszkań. Oczywistym jest w tej sytuacji finalne przerzucenie tego kosztu na ostatecznego odbiorcę tj. nabywcę lokalu, który będzie zmuszony pokryć go w cenie metra kwadratowego lokalu lub domu jednorodzinnego.</w:t>
            </w:r>
          </w:p>
          <w:p w14:paraId="07AB5B89" w14:textId="77777777" w:rsidR="00E46C90" w:rsidRPr="006F7481" w:rsidRDefault="00E46C90" w:rsidP="00E46C90">
            <w:pPr>
              <w:spacing w:before="120" w:after="120"/>
              <w:jc w:val="both"/>
              <w:rPr>
                <w:rFonts w:ascii="Times New Roman" w:hAnsi="Times New Roman" w:cs="Times New Roman"/>
                <w:sz w:val="20"/>
              </w:rPr>
            </w:pPr>
            <w:r w:rsidRPr="006F7481">
              <w:rPr>
                <w:rFonts w:ascii="Times New Roman" w:hAnsi="Times New Roman" w:cs="Times New Roman"/>
                <w:sz w:val="20"/>
              </w:rPr>
              <w:t xml:space="preserve">W uzasadnieniu do projektu wskazano także, że „Funkcjonowanie Portalu ma docelowo dostarczyć informacji niezbędnych do prawidłowego prowadzenia polityki mieszkaniowej państwa i parametryzowania instrumentów wsparcia mieszkalnictwa w związku z art. 75 Konstytucji RP, który stanowi, że władze publiczne </w:t>
            </w:r>
            <w:r w:rsidRPr="006F7481">
              <w:rPr>
                <w:rFonts w:ascii="Times New Roman" w:hAnsi="Times New Roman" w:cs="Times New Roman"/>
                <w:sz w:val="20"/>
              </w:rPr>
              <w:lastRenderedPageBreak/>
              <w:t>prowadzą politykę sprzyjającą zaspokojeniu potrzeb mieszkaniowych obywateli, w szczególności przeciwdziałają bezdomności, wspierają rozwój budownictwa socjalnego oraz popierają działania obywateli zmierzające do uzyskania własnego mieszkania. ". Przewidywane wyżej konsekwencje wprost przeczą treści art. 75 Konstytucji. Zwiększenie cen metra kwadratowego mieszkania bądź domu jednorodzinnego w żadnej mierze nie sprzyjają zaspokojeniu potrzeb mieszkaniowych obywateli, nie przeciwdziałają bezdomności i utrudnią działania obywateli zmierzające do uzyskania własnego mieszkania.</w:t>
            </w:r>
          </w:p>
          <w:p w14:paraId="7DE7A9F3" w14:textId="77777777" w:rsidR="00E46C90" w:rsidRPr="006F7481" w:rsidRDefault="00E46C90" w:rsidP="00E46C90">
            <w:pPr>
              <w:spacing w:before="120" w:after="120"/>
              <w:jc w:val="both"/>
              <w:rPr>
                <w:rFonts w:ascii="Times New Roman" w:hAnsi="Times New Roman" w:cs="Times New Roman"/>
                <w:sz w:val="20"/>
              </w:rPr>
            </w:pPr>
            <w:r w:rsidRPr="006F7481">
              <w:rPr>
                <w:rFonts w:ascii="Times New Roman" w:hAnsi="Times New Roman" w:cs="Times New Roman"/>
                <w:sz w:val="20"/>
              </w:rPr>
              <w:t>Wobec powyższego ZRSM RP wnosi o:</w:t>
            </w:r>
          </w:p>
          <w:p w14:paraId="15CE8665" w14:textId="77777777" w:rsidR="00E46C90" w:rsidRPr="006F7481" w:rsidRDefault="00E46C90" w:rsidP="00E46C90">
            <w:pPr>
              <w:pStyle w:val="Akapitzlist"/>
              <w:numPr>
                <w:ilvl w:val="0"/>
                <w:numId w:val="20"/>
              </w:numPr>
              <w:spacing w:before="120" w:after="120"/>
              <w:jc w:val="both"/>
              <w:rPr>
                <w:rFonts w:ascii="Times New Roman" w:hAnsi="Times New Roman" w:cs="Times New Roman"/>
                <w:sz w:val="20"/>
              </w:rPr>
            </w:pPr>
            <w:r w:rsidRPr="006F7481">
              <w:rPr>
                <w:rFonts w:ascii="Times New Roman" w:hAnsi="Times New Roman" w:cs="Times New Roman"/>
                <w:sz w:val="20"/>
              </w:rPr>
              <w:t>zmianę art. 1 pkt. 1 Projektu ustawy poprzez nadanie mu brzmienia: wart. 1 w pkt 8 kropkę zastępuje się średnikiem i dodaje się pkt 9 w brzmieniu: „9) zasady działania Portalu Danych o Obrocie Mieszkaniami, zwanego dalej Portal DOM i udostępniania z niego informacji oraz sposób pozyskiwania danych i informacji do tego portalu."</w:t>
            </w:r>
          </w:p>
          <w:p w14:paraId="29D242BB" w14:textId="77777777" w:rsidR="00E46C90" w:rsidRPr="006F7481" w:rsidRDefault="00E46C90" w:rsidP="00E46C90">
            <w:pPr>
              <w:pStyle w:val="Akapitzlist"/>
              <w:numPr>
                <w:ilvl w:val="0"/>
                <w:numId w:val="20"/>
              </w:numPr>
              <w:spacing w:before="120" w:after="120"/>
              <w:jc w:val="both"/>
              <w:rPr>
                <w:rFonts w:ascii="Times New Roman" w:hAnsi="Times New Roman" w:cs="Times New Roman"/>
                <w:sz w:val="20"/>
              </w:rPr>
            </w:pPr>
            <w:r w:rsidRPr="006F7481">
              <w:rPr>
                <w:rFonts w:ascii="Times New Roman" w:hAnsi="Times New Roman" w:cs="Times New Roman"/>
                <w:sz w:val="20"/>
              </w:rPr>
              <w:t>wykreślenie zapisu art. 1 pkt. 2 Projektu ustawy;</w:t>
            </w:r>
          </w:p>
          <w:p w14:paraId="64994679" w14:textId="77777777" w:rsidR="00E46C90" w:rsidRPr="006F7481" w:rsidRDefault="00E46C90" w:rsidP="00E46C90">
            <w:pPr>
              <w:pStyle w:val="Akapitzlist"/>
              <w:numPr>
                <w:ilvl w:val="0"/>
                <w:numId w:val="20"/>
              </w:numPr>
              <w:spacing w:before="120" w:after="120"/>
              <w:jc w:val="both"/>
              <w:rPr>
                <w:rFonts w:ascii="Times New Roman" w:hAnsi="Times New Roman" w:cs="Times New Roman"/>
                <w:sz w:val="20"/>
              </w:rPr>
            </w:pPr>
            <w:r w:rsidRPr="006F7481">
              <w:rPr>
                <w:rFonts w:ascii="Times New Roman" w:hAnsi="Times New Roman" w:cs="Times New Roman"/>
                <w:sz w:val="20"/>
              </w:rPr>
              <w:t>oznaczenie art. 1 pkt. 3 Projektu ustawy jako art. 1 pkt. 2 Projektu ustawy</w:t>
            </w:r>
          </w:p>
          <w:p w14:paraId="352DB0FF" w14:textId="34F6BFD6" w:rsidR="00E46C90" w:rsidRPr="006F7481" w:rsidRDefault="00E46C90" w:rsidP="00E46C90">
            <w:pPr>
              <w:pStyle w:val="Akapitzlist"/>
              <w:numPr>
                <w:ilvl w:val="0"/>
                <w:numId w:val="20"/>
              </w:numPr>
              <w:spacing w:before="120" w:after="120"/>
              <w:jc w:val="both"/>
              <w:rPr>
                <w:rFonts w:ascii="Times New Roman" w:hAnsi="Times New Roman" w:cs="Times New Roman"/>
                <w:sz w:val="20"/>
              </w:rPr>
            </w:pPr>
            <w:r w:rsidRPr="006F7481">
              <w:rPr>
                <w:rFonts w:ascii="Times New Roman" w:hAnsi="Times New Roman" w:cs="Times New Roman"/>
                <w:sz w:val="20"/>
              </w:rPr>
              <w:t>dodanie w projektowanym Rozdziale 8a ustawy deweloperskiej art. 56fo treści: „art. 56f Koszty związane z prowadzeniem Portalu DOM pokrywa budżet Państwa".</w:t>
            </w:r>
          </w:p>
        </w:tc>
        <w:tc>
          <w:tcPr>
            <w:tcW w:w="4160" w:type="dxa"/>
          </w:tcPr>
          <w:p w14:paraId="562F5794" w14:textId="262844AA" w:rsidR="00722E80" w:rsidRPr="006F7481" w:rsidRDefault="004A514B" w:rsidP="00722E80">
            <w:pPr>
              <w:spacing w:before="120" w:after="120"/>
              <w:jc w:val="both"/>
              <w:rPr>
                <w:rFonts w:ascii="Times New Roman" w:hAnsi="Times New Roman" w:cs="Times New Roman"/>
                <w:b/>
                <w:bCs/>
                <w:sz w:val="20"/>
              </w:rPr>
            </w:pPr>
            <w:r w:rsidRPr="006F7481">
              <w:rPr>
                <w:rFonts w:ascii="Times New Roman" w:hAnsi="Times New Roman" w:cs="Times New Roman"/>
                <w:b/>
                <w:bCs/>
                <w:sz w:val="20"/>
              </w:rPr>
              <w:lastRenderedPageBreak/>
              <w:t>Uwagi nieuwzględnione</w:t>
            </w:r>
          </w:p>
          <w:p w14:paraId="6ECEF000" w14:textId="6DF68AEC" w:rsidR="00ED5A39" w:rsidRPr="006F7481" w:rsidRDefault="00722E80" w:rsidP="00722E80">
            <w:pPr>
              <w:spacing w:before="120" w:after="120"/>
              <w:jc w:val="both"/>
              <w:rPr>
                <w:rFonts w:ascii="Times New Roman" w:hAnsi="Times New Roman" w:cs="Times New Roman"/>
                <w:sz w:val="20"/>
              </w:rPr>
            </w:pPr>
            <w:r w:rsidRPr="006F7481">
              <w:rPr>
                <w:rFonts w:ascii="Times New Roman" w:hAnsi="Times New Roman" w:cs="Times New Roman"/>
                <w:sz w:val="20"/>
              </w:rPr>
              <w:t xml:space="preserve">Portal DOM ma stanowić kolejne narzędzie ochrony nabywców nieruchomości mieszkaniowych. Obawy Związku należy uznać </w:t>
            </w:r>
            <w:r w:rsidRPr="006F7481">
              <w:rPr>
                <w:rFonts w:ascii="Times New Roman" w:hAnsi="Times New Roman" w:cs="Times New Roman"/>
                <w:sz w:val="20"/>
              </w:rPr>
              <w:lastRenderedPageBreak/>
              <w:t xml:space="preserve">za nieuzasadnione. </w:t>
            </w:r>
            <w:r w:rsidR="00ED5A39" w:rsidRPr="006F7481">
              <w:rPr>
                <w:rFonts w:ascii="Times New Roman" w:hAnsi="Times New Roman" w:cs="Times New Roman"/>
                <w:sz w:val="20"/>
              </w:rPr>
              <w:t xml:space="preserve">Szacunki, które posiada Ministerstwo Rozwoju i Technologii, dotyczące kosztów Portalu DOM, nie dają podstawy do twierdzenia o zaistnieniu w praktyce ryzyka utraty płynności przez Deweloperski Fundusz Gwarancyjny z powodu ponoszenia kosztów funkcjonowania Portalu, a tym samym o wygenerowaniu z tego powodu </w:t>
            </w:r>
            <w:proofErr w:type="spellStart"/>
            <w:r w:rsidR="00ED5A39" w:rsidRPr="006F7481">
              <w:rPr>
                <w:rFonts w:ascii="Times New Roman" w:hAnsi="Times New Roman" w:cs="Times New Roman"/>
                <w:sz w:val="20"/>
              </w:rPr>
              <w:t>ryzyk</w:t>
            </w:r>
            <w:proofErr w:type="spellEnd"/>
            <w:r w:rsidR="00ED5A39" w:rsidRPr="006F7481">
              <w:rPr>
                <w:rFonts w:ascii="Times New Roman" w:hAnsi="Times New Roman" w:cs="Times New Roman"/>
                <w:sz w:val="20"/>
              </w:rPr>
              <w:t xml:space="preserve"> dla nabywców. Według danych na koniec III kwartału 2024 r., wolne środki Funduszu wynosiły 95,3 mln zł, zaś koszty poniesione na</w:t>
            </w:r>
            <w:r w:rsidR="00735D9B">
              <w:rPr>
                <w:rFonts w:ascii="Times New Roman" w:hAnsi="Times New Roman" w:cs="Times New Roman"/>
                <w:sz w:val="20"/>
              </w:rPr>
              <w:t> </w:t>
            </w:r>
            <w:r w:rsidR="00ED5A39" w:rsidRPr="006F7481">
              <w:rPr>
                <w:rFonts w:ascii="Times New Roman" w:hAnsi="Times New Roman" w:cs="Times New Roman"/>
                <w:sz w:val="20"/>
              </w:rPr>
              <w:t xml:space="preserve">realizację ustawowych zadań Funduszu </w:t>
            </w:r>
            <w:r w:rsidR="00735D9B" w:rsidRPr="00735D9B">
              <w:rPr>
                <w:rFonts w:ascii="Times New Roman" w:hAnsi="Times New Roman" w:cs="Times New Roman"/>
                <w:sz w:val="20"/>
              </w:rPr>
              <w:t>–</w:t>
            </w:r>
            <w:r w:rsidR="00ED5A39" w:rsidRPr="006F7481">
              <w:rPr>
                <w:rFonts w:ascii="Times New Roman" w:hAnsi="Times New Roman" w:cs="Times New Roman"/>
                <w:sz w:val="20"/>
              </w:rPr>
              <w:t xml:space="preserve"> 2,2</w:t>
            </w:r>
            <w:r w:rsidR="00735D9B">
              <w:rPr>
                <w:rFonts w:ascii="Times New Roman" w:hAnsi="Times New Roman" w:cs="Times New Roman"/>
                <w:sz w:val="20"/>
              </w:rPr>
              <w:t> </w:t>
            </w:r>
            <w:r w:rsidR="00ED5A39" w:rsidRPr="006F7481">
              <w:rPr>
                <w:rFonts w:ascii="Times New Roman" w:hAnsi="Times New Roman" w:cs="Times New Roman"/>
                <w:sz w:val="20"/>
              </w:rPr>
              <w:t>mln zł.  Ponadto w celu pozyskania środków na uruchomienie Portalu DOM – jak wskazano w OSR – UFG zamierza wystąpić o dofinansowanie ze środków europejskich (Fundusze Europejskie na Rozwój Cyfrowy 2021-2027).</w:t>
            </w:r>
          </w:p>
          <w:p w14:paraId="4BB2DAAC" w14:textId="77777777" w:rsidR="00735D9B" w:rsidRDefault="006F7481" w:rsidP="00722E80">
            <w:pPr>
              <w:spacing w:before="120" w:after="120"/>
              <w:jc w:val="both"/>
              <w:rPr>
                <w:rFonts w:ascii="Times New Roman" w:hAnsi="Times New Roman" w:cs="Times New Roman"/>
                <w:sz w:val="20"/>
              </w:rPr>
            </w:pPr>
            <w:r w:rsidRPr="00735D9B">
              <w:rPr>
                <w:rFonts w:ascii="Times New Roman" w:hAnsi="Times New Roman" w:cs="Times New Roman"/>
                <w:sz w:val="20"/>
              </w:rPr>
              <w:t>Dodatkowo, nie zakłada się, żeby projektowane rozwiązania wpłynęły na zmianę wysokości składek wpłacanych do DFG.</w:t>
            </w:r>
          </w:p>
          <w:p w14:paraId="34EBF0D1" w14:textId="4C394257" w:rsidR="004A514B" w:rsidRPr="006F7481" w:rsidRDefault="004A514B" w:rsidP="00722E80">
            <w:pPr>
              <w:spacing w:before="120" w:after="120"/>
              <w:jc w:val="both"/>
              <w:rPr>
                <w:rFonts w:ascii="Times New Roman" w:hAnsi="Times New Roman" w:cs="Times New Roman"/>
                <w:sz w:val="20"/>
              </w:rPr>
            </w:pPr>
            <w:r w:rsidRPr="006F7481">
              <w:rPr>
                <w:rFonts w:ascii="Times New Roman" w:hAnsi="Times New Roman" w:cs="Times New Roman"/>
                <w:sz w:val="20"/>
              </w:rPr>
              <w:t>Odnosząc się natomiast do uwagi nr 1, aktualny zapis jest zgodny z praktyką legislacyjną.</w:t>
            </w:r>
          </w:p>
        </w:tc>
      </w:tr>
      <w:tr w:rsidR="00E46C90" w:rsidRPr="00FF4480" w14:paraId="28A0892C" w14:textId="77777777" w:rsidTr="00E9565F">
        <w:trPr>
          <w:jc w:val="center"/>
        </w:trPr>
        <w:tc>
          <w:tcPr>
            <w:tcW w:w="554" w:type="dxa"/>
          </w:tcPr>
          <w:p w14:paraId="5E8621B7" w14:textId="77777777" w:rsidR="00E46C90" w:rsidRPr="00FF4480" w:rsidRDefault="00E46C90" w:rsidP="00E46C90">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AC85F0B" w14:textId="5F239C70" w:rsidR="00E46C90" w:rsidRDefault="00E46C90" w:rsidP="00E46C90">
            <w:pPr>
              <w:spacing w:before="120" w:after="120"/>
              <w:rPr>
                <w:rFonts w:ascii="Times New Roman" w:hAnsi="Times New Roman" w:cs="Times New Roman"/>
                <w:sz w:val="20"/>
                <w:szCs w:val="20"/>
              </w:rPr>
            </w:pPr>
            <w:r w:rsidRPr="00B57051">
              <w:rPr>
                <w:rFonts w:ascii="Times New Roman" w:hAnsi="Times New Roman" w:cs="Times New Roman"/>
                <w:sz w:val="20"/>
                <w:szCs w:val="20"/>
              </w:rPr>
              <w:t>Związek Banków Polskich</w:t>
            </w:r>
          </w:p>
        </w:tc>
        <w:tc>
          <w:tcPr>
            <w:tcW w:w="1905" w:type="dxa"/>
            <w:vAlign w:val="center"/>
          </w:tcPr>
          <w:p w14:paraId="53F3029C" w14:textId="73F9DF4C" w:rsidR="00E46C90" w:rsidRPr="00E861F3" w:rsidRDefault="00E46C90" w:rsidP="00E46C90">
            <w:pPr>
              <w:spacing w:before="120" w:after="120"/>
              <w:jc w:val="center"/>
              <w:rPr>
                <w:rFonts w:ascii="Times New Roman" w:hAnsi="Times New Roman" w:cs="Times New Roman"/>
                <w:sz w:val="20"/>
                <w:szCs w:val="20"/>
              </w:rPr>
            </w:pPr>
            <w:r>
              <w:rPr>
                <w:rFonts w:ascii="Times New Roman" w:hAnsi="Times New Roman" w:cs="Times New Roman"/>
                <w:sz w:val="20"/>
                <w:szCs w:val="20"/>
              </w:rPr>
              <w:t>Art. 1 pkt 2</w:t>
            </w:r>
          </w:p>
        </w:tc>
        <w:tc>
          <w:tcPr>
            <w:tcW w:w="5670" w:type="dxa"/>
            <w:vAlign w:val="center"/>
          </w:tcPr>
          <w:p w14:paraId="2CB7FDCE" w14:textId="16D19636" w:rsidR="00E46C90" w:rsidRPr="00E861F3" w:rsidRDefault="00E46C90" w:rsidP="00E46C90">
            <w:pPr>
              <w:spacing w:before="120" w:after="120"/>
              <w:jc w:val="both"/>
              <w:rPr>
                <w:rFonts w:ascii="Times New Roman" w:hAnsi="Times New Roman" w:cs="Times New Roman"/>
                <w:sz w:val="20"/>
              </w:rPr>
            </w:pPr>
            <w:r w:rsidRPr="00B57051">
              <w:rPr>
                <w:rFonts w:ascii="Times New Roman" w:hAnsi="Times New Roman" w:cs="Times New Roman"/>
                <w:sz w:val="20"/>
              </w:rPr>
              <w:t>Wydaje się, że właściwszym byłoby dodawany ustęp dopisać do obecnego ust. 6 ewentualnie dodać go jako ust. 6a lub ust. 7, zmieniając numerację kolejnych. Dodawany ustęp określa przeznaczenie środków Funduszu, tak jak obecne ust. 1-6, natomiast obecne ust. 7-9 regulują zasady, skutki wykorzystania tych środków.</w:t>
            </w:r>
          </w:p>
        </w:tc>
        <w:tc>
          <w:tcPr>
            <w:tcW w:w="4160" w:type="dxa"/>
          </w:tcPr>
          <w:p w14:paraId="1E35DCC7" w14:textId="77777777" w:rsidR="00E46C90" w:rsidRPr="00BA501E" w:rsidRDefault="00BA501E" w:rsidP="00BA501E">
            <w:pPr>
              <w:spacing w:before="120" w:after="120"/>
              <w:jc w:val="both"/>
              <w:rPr>
                <w:rFonts w:ascii="Times New Roman" w:hAnsi="Times New Roman" w:cs="Times New Roman"/>
                <w:color w:val="0070C0"/>
                <w:sz w:val="20"/>
              </w:rPr>
            </w:pPr>
            <w:r w:rsidRPr="00BA501E">
              <w:rPr>
                <w:rFonts w:ascii="Times New Roman" w:hAnsi="Times New Roman" w:cs="Times New Roman"/>
                <w:color w:val="0070C0"/>
                <w:sz w:val="20"/>
              </w:rPr>
              <w:t>Uwaga uwzględniona w niezbędnym zakresie</w:t>
            </w:r>
          </w:p>
          <w:p w14:paraId="2990873A" w14:textId="5A8E611D" w:rsidR="00BA501E" w:rsidRPr="008B735E" w:rsidRDefault="00BA501E" w:rsidP="00E46C90">
            <w:pPr>
              <w:spacing w:before="120" w:after="120"/>
              <w:jc w:val="both"/>
              <w:rPr>
                <w:rFonts w:ascii="Times New Roman" w:hAnsi="Times New Roman" w:cs="Times New Roman"/>
                <w:sz w:val="20"/>
              </w:rPr>
            </w:pPr>
            <w:r>
              <w:rPr>
                <w:rFonts w:ascii="Times New Roman" w:hAnsi="Times New Roman" w:cs="Times New Roman"/>
                <w:sz w:val="20"/>
              </w:rPr>
              <w:t>Proponuje się oznaczenie przepisu jako ust. 5a.</w:t>
            </w:r>
          </w:p>
        </w:tc>
      </w:tr>
      <w:tr w:rsidR="00E46C90" w:rsidRPr="00FF4480" w14:paraId="58893C68" w14:textId="77777777" w:rsidTr="00E9565F">
        <w:trPr>
          <w:jc w:val="center"/>
        </w:trPr>
        <w:tc>
          <w:tcPr>
            <w:tcW w:w="554" w:type="dxa"/>
          </w:tcPr>
          <w:p w14:paraId="45B0A1D5" w14:textId="77777777" w:rsidR="00E46C90" w:rsidRPr="00FF4480" w:rsidRDefault="00E46C90" w:rsidP="00E46C90">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43D4ECF" w14:textId="3227CF02" w:rsidR="00E46C90" w:rsidRPr="00B57051" w:rsidRDefault="00E46C90" w:rsidP="00E46C90">
            <w:pPr>
              <w:spacing w:before="120" w:after="120"/>
              <w:rPr>
                <w:rFonts w:ascii="Times New Roman" w:hAnsi="Times New Roman" w:cs="Times New Roman"/>
                <w:sz w:val="20"/>
                <w:szCs w:val="20"/>
              </w:rPr>
            </w:pPr>
            <w:r w:rsidRPr="00B57051">
              <w:rPr>
                <w:rFonts w:ascii="Times New Roman" w:hAnsi="Times New Roman" w:cs="Times New Roman"/>
                <w:sz w:val="20"/>
                <w:szCs w:val="20"/>
              </w:rPr>
              <w:t>Związek Banków Polskich</w:t>
            </w:r>
          </w:p>
        </w:tc>
        <w:tc>
          <w:tcPr>
            <w:tcW w:w="1905" w:type="dxa"/>
            <w:vAlign w:val="center"/>
          </w:tcPr>
          <w:p w14:paraId="5F051A4A" w14:textId="07AF62CA" w:rsidR="00E46C90" w:rsidRDefault="00E46C90" w:rsidP="00E46C90">
            <w:pPr>
              <w:spacing w:before="120" w:after="120"/>
              <w:jc w:val="center"/>
              <w:rPr>
                <w:rFonts w:ascii="Times New Roman" w:hAnsi="Times New Roman" w:cs="Times New Roman"/>
                <w:sz w:val="20"/>
                <w:szCs w:val="20"/>
              </w:rPr>
            </w:pPr>
            <w:r>
              <w:rPr>
                <w:rFonts w:ascii="Times New Roman" w:hAnsi="Times New Roman" w:cs="Times New Roman"/>
                <w:sz w:val="20"/>
                <w:szCs w:val="20"/>
              </w:rPr>
              <w:t>Art. 1 pkt 3</w:t>
            </w:r>
          </w:p>
        </w:tc>
        <w:tc>
          <w:tcPr>
            <w:tcW w:w="5670" w:type="dxa"/>
            <w:vAlign w:val="center"/>
          </w:tcPr>
          <w:p w14:paraId="6DA7C477" w14:textId="77777777" w:rsidR="00E46C90" w:rsidRPr="00ED4A2B" w:rsidRDefault="00E46C90" w:rsidP="00E46C90">
            <w:pPr>
              <w:spacing w:before="120" w:after="120"/>
              <w:jc w:val="both"/>
              <w:rPr>
                <w:rFonts w:ascii="Times New Roman" w:hAnsi="Times New Roman" w:cs="Times New Roman"/>
                <w:sz w:val="20"/>
              </w:rPr>
            </w:pPr>
            <w:r w:rsidRPr="00ED4A2B">
              <w:rPr>
                <w:rFonts w:ascii="Times New Roman" w:hAnsi="Times New Roman" w:cs="Times New Roman"/>
                <w:sz w:val="20"/>
              </w:rPr>
              <w:t>- w lit. i) zastąpienie wyrazów „wskazanie lokalu mieszkalnego albo domu jednorodzinnego” wyrazami „określenie: lokal mieszkalny lub dom jednorodzinny” a w dalszych punktach zastąpić każdorazowo powtarzanymi wyrazami „lokal mieszkalny albo dom jednorodzinny” wyrazem „obiekt”. Dotyczy to również art. 56a.</w:t>
            </w:r>
          </w:p>
          <w:p w14:paraId="61CE6079" w14:textId="582907A2" w:rsidR="00E46C90" w:rsidRPr="00B57051" w:rsidRDefault="00E46C90" w:rsidP="00E46C90">
            <w:pPr>
              <w:spacing w:before="120" w:after="120"/>
              <w:jc w:val="both"/>
              <w:rPr>
                <w:rFonts w:ascii="Times New Roman" w:hAnsi="Times New Roman" w:cs="Times New Roman"/>
                <w:sz w:val="20"/>
              </w:rPr>
            </w:pPr>
            <w:r w:rsidRPr="00ED4A2B">
              <w:rPr>
                <w:rFonts w:ascii="Times New Roman" w:hAnsi="Times New Roman" w:cs="Times New Roman"/>
                <w:sz w:val="20"/>
              </w:rPr>
              <w:t xml:space="preserve">- w lit. l) o treści „liczba pokoi w lokalu mieszkalnym albo domu jednorodzinnym objętym umową” zmiana na „liczba, rodzaj i </w:t>
            </w:r>
            <w:r w:rsidRPr="00ED4A2B">
              <w:rPr>
                <w:rFonts w:ascii="Times New Roman" w:hAnsi="Times New Roman" w:cs="Times New Roman"/>
                <w:sz w:val="20"/>
              </w:rPr>
              <w:lastRenderedPageBreak/>
              <w:t>powierzchnia pomieszczeń w lokalu mieszkalnym albo domu jednorodzinnym objętym umową, w przypadku lokalu mieszkalnego – także liczba i powierzchnia pomieszczeń przynależnych oraz zakres uprawnień nabywcy lokalu wynikający zawartej umowy o podziale quad usum nieruchomości wspólnej”,</w:t>
            </w:r>
          </w:p>
        </w:tc>
        <w:tc>
          <w:tcPr>
            <w:tcW w:w="4160" w:type="dxa"/>
          </w:tcPr>
          <w:p w14:paraId="1B8A26A3" w14:textId="690EFC8A" w:rsidR="00E46C90" w:rsidRPr="002F0A03" w:rsidRDefault="002F0A03" w:rsidP="00E46C90">
            <w:pPr>
              <w:spacing w:before="120" w:after="120"/>
              <w:jc w:val="both"/>
              <w:rPr>
                <w:rFonts w:ascii="Times New Roman" w:hAnsi="Times New Roman" w:cs="Times New Roman"/>
                <w:b/>
                <w:bCs/>
                <w:sz w:val="20"/>
              </w:rPr>
            </w:pPr>
            <w:r w:rsidRPr="002F0A03">
              <w:rPr>
                <w:rFonts w:ascii="Times New Roman" w:hAnsi="Times New Roman" w:cs="Times New Roman"/>
                <w:b/>
                <w:bCs/>
                <w:sz w:val="20"/>
              </w:rPr>
              <w:lastRenderedPageBreak/>
              <w:t>Uwagi nieuwzględnione</w:t>
            </w:r>
          </w:p>
          <w:p w14:paraId="70202774" w14:textId="402DA315" w:rsidR="002F0A03" w:rsidRDefault="002F0A03" w:rsidP="00E46C90">
            <w:pPr>
              <w:spacing w:before="120" w:after="120"/>
              <w:jc w:val="both"/>
              <w:rPr>
                <w:rFonts w:ascii="Times New Roman" w:hAnsi="Times New Roman" w:cs="Times New Roman"/>
                <w:sz w:val="20"/>
              </w:rPr>
            </w:pPr>
            <w:r>
              <w:rPr>
                <w:rFonts w:ascii="Times New Roman" w:hAnsi="Times New Roman" w:cs="Times New Roman"/>
                <w:sz w:val="20"/>
              </w:rPr>
              <w:t>Odnosząc się do pierwszej uwagi, aktualna konstrukcja jest już znana prawu mieszkaniowemu</w:t>
            </w:r>
            <w:r w:rsidR="005B55E5">
              <w:rPr>
                <w:rFonts w:ascii="Times New Roman" w:hAnsi="Times New Roman" w:cs="Times New Roman"/>
                <w:sz w:val="20"/>
              </w:rPr>
              <w:t xml:space="preserve"> (występuje w innych aktach prawnych).</w:t>
            </w:r>
          </w:p>
          <w:p w14:paraId="46BE9347" w14:textId="4ABD16DD" w:rsidR="008A7D1F" w:rsidRDefault="00ED7BFC" w:rsidP="00E46C90">
            <w:pPr>
              <w:spacing w:before="120" w:after="120"/>
              <w:jc w:val="both"/>
              <w:rPr>
                <w:rFonts w:ascii="Times New Roman" w:hAnsi="Times New Roman" w:cs="Times New Roman"/>
                <w:sz w:val="20"/>
              </w:rPr>
            </w:pPr>
            <w:r>
              <w:rPr>
                <w:rFonts w:ascii="Times New Roman" w:hAnsi="Times New Roman" w:cs="Times New Roman"/>
                <w:sz w:val="20"/>
              </w:rPr>
              <w:t xml:space="preserve">Odnosząc się do drugiej uwagi, na etapie prac koncepcyjnych były rozważane różne pojęcia, </w:t>
            </w:r>
            <w:r>
              <w:rPr>
                <w:rFonts w:ascii="Times New Roman" w:hAnsi="Times New Roman" w:cs="Times New Roman"/>
                <w:sz w:val="20"/>
              </w:rPr>
              <w:lastRenderedPageBreak/>
              <w:t>w</w:t>
            </w:r>
            <w:r w:rsidR="008A7D1F">
              <w:rPr>
                <w:rFonts w:ascii="Times New Roman" w:hAnsi="Times New Roman" w:cs="Times New Roman"/>
                <w:sz w:val="20"/>
              </w:rPr>
              <w:t> </w:t>
            </w:r>
            <w:r>
              <w:rPr>
                <w:rFonts w:ascii="Times New Roman" w:hAnsi="Times New Roman" w:cs="Times New Roman"/>
                <w:sz w:val="20"/>
              </w:rPr>
              <w:t xml:space="preserve">tym te wskazane przez </w:t>
            </w:r>
            <w:proofErr w:type="spellStart"/>
            <w:r>
              <w:rPr>
                <w:rFonts w:ascii="Times New Roman" w:hAnsi="Times New Roman" w:cs="Times New Roman"/>
                <w:sz w:val="20"/>
              </w:rPr>
              <w:t>Uwagodawcę</w:t>
            </w:r>
            <w:proofErr w:type="spellEnd"/>
            <w:r>
              <w:rPr>
                <w:rFonts w:ascii="Times New Roman" w:hAnsi="Times New Roman" w:cs="Times New Roman"/>
                <w:sz w:val="20"/>
              </w:rPr>
              <w:t xml:space="preserve">. Ostatecznie zdecydowano się jednak na odniesienie do pojęcia pokoju. Pojęcie to jest bowiem immanentnym składnikiem opisu oferty sprzedaży mieszkania w praktyce obrotu oraz jedną z kluczowych zmiennych branych pod uwagę przy ocenie oferty. </w:t>
            </w:r>
            <w:r w:rsidR="008A7D1F" w:rsidRPr="008A7D1F">
              <w:rPr>
                <w:rFonts w:ascii="Times New Roman" w:hAnsi="Times New Roman" w:cs="Times New Roman"/>
                <w:sz w:val="20"/>
              </w:rPr>
              <w:t>Innymi słowy, liczba pokoi to podstawowy parametr opisujący zbywaną nieruchomość mieszkaniową w</w:t>
            </w:r>
            <w:r w:rsidR="008A7D1F">
              <w:rPr>
                <w:rFonts w:ascii="Times New Roman" w:hAnsi="Times New Roman" w:cs="Times New Roman"/>
                <w:sz w:val="20"/>
              </w:rPr>
              <w:t> </w:t>
            </w:r>
            <w:r w:rsidR="008A7D1F" w:rsidRPr="008A7D1F">
              <w:rPr>
                <w:rFonts w:ascii="Times New Roman" w:hAnsi="Times New Roman" w:cs="Times New Roman"/>
                <w:sz w:val="20"/>
              </w:rPr>
              <w:t>praktyce obrotu oraz podstawowy parametr brany pod uwagę przy ocenie oferty przez osobę poszukującą mieszkania.</w:t>
            </w:r>
          </w:p>
          <w:p w14:paraId="4557E8C2" w14:textId="4CDC9EA2" w:rsidR="00ED7BFC" w:rsidRPr="008B735E" w:rsidRDefault="00ED7BFC" w:rsidP="00E46C90">
            <w:pPr>
              <w:spacing w:before="120" w:after="120"/>
              <w:jc w:val="both"/>
              <w:rPr>
                <w:rFonts w:ascii="Times New Roman" w:hAnsi="Times New Roman" w:cs="Times New Roman"/>
                <w:sz w:val="20"/>
              </w:rPr>
            </w:pPr>
            <w:r>
              <w:rPr>
                <w:rFonts w:ascii="Times New Roman" w:hAnsi="Times New Roman" w:cs="Times New Roman"/>
                <w:sz w:val="20"/>
              </w:rPr>
              <w:t xml:space="preserve">Ewentualne rozbieżności w zakresie rozumienia pojęcia nie będą negatywnie wpływały na funkcjonalności Portalu i jego użyteczność. </w:t>
            </w:r>
          </w:p>
        </w:tc>
      </w:tr>
      <w:tr w:rsidR="00F85687" w:rsidRPr="00FF4480" w14:paraId="0162E587" w14:textId="77777777" w:rsidTr="00E9565F">
        <w:trPr>
          <w:jc w:val="center"/>
        </w:trPr>
        <w:tc>
          <w:tcPr>
            <w:tcW w:w="554" w:type="dxa"/>
          </w:tcPr>
          <w:p w14:paraId="389E6349"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F53BEAA" w14:textId="2E6CA7AC" w:rsidR="00F85687" w:rsidRPr="00B57051" w:rsidRDefault="00F85687" w:rsidP="00F85687">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3AC63CC0" w14:textId="6FFDD058" w:rsidR="00F85687" w:rsidRDefault="00F85687" w:rsidP="00F85687">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56a ust. 3</w:t>
            </w:r>
          </w:p>
        </w:tc>
        <w:tc>
          <w:tcPr>
            <w:tcW w:w="5670" w:type="dxa"/>
            <w:vAlign w:val="center"/>
          </w:tcPr>
          <w:p w14:paraId="0E5D4BBD"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Co do zakresu danych zbieranych w bazie – warto je uzupełnić o:</w:t>
            </w:r>
          </w:p>
          <w:p w14:paraId="2C2F4DD4"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a)</w:t>
            </w:r>
            <w:r w:rsidRPr="00ED4A2B">
              <w:rPr>
                <w:rFonts w:ascii="Times New Roman" w:hAnsi="Times New Roman" w:cs="Times New Roman"/>
                <w:sz w:val="20"/>
              </w:rPr>
              <w:tab/>
              <w:t>informacje o udziałach w pomieszczeniach niemieszkalnych (hale garażowe) jeżeli są nabywane wraz z lokalem;</w:t>
            </w:r>
          </w:p>
          <w:p w14:paraId="2DC99263"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b)</w:t>
            </w:r>
            <w:r w:rsidRPr="00ED4A2B">
              <w:rPr>
                <w:rFonts w:ascii="Times New Roman" w:hAnsi="Times New Roman" w:cs="Times New Roman"/>
                <w:sz w:val="20"/>
              </w:rPr>
              <w:tab/>
              <w:t>rodzaj i powierzchnia pomieszczeń przynależnych sprzedawanych wraz z lokalem (pozwoli na uwzględnienie lokali, które są sprzedawane wraz z miejscem postojowym);</w:t>
            </w:r>
          </w:p>
          <w:p w14:paraId="2901A7AC"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c)</w:t>
            </w:r>
            <w:r w:rsidRPr="00ED4A2B">
              <w:rPr>
                <w:rFonts w:ascii="Times New Roman" w:hAnsi="Times New Roman" w:cs="Times New Roman"/>
                <w:sz w:val="20"/>
              </w:rPr>
              <w:tab/>
              <w:t>przy rynku pierwotnym istotna jest informacja o standardzie (deweloperski lub wykończony);</w:t>
            </w:r>
          </w:p>
          <w:p w14:paraId="3F8A44CE"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d)</w:t>
            </w:r>
            <w:r w:rsidRPr="00ED4A2B">
              <w:rPr>
                <w:rFonts w:ascii="Times New Roman" w:hAnsi="Times New Roman" w:cs="Times New Roman"/>
                <w:sz w:val="20"/>
              </w:rPr>
              <w:tab/>
              <w:t>przy rynku wtórnym – rok budowy;</w:t>
            </w:r>
          </w:p>
          <w:p w14:paraId="367E6C14"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e)</w:t>
            </w:r>
            <w:r w:rsidRPr="00ED4A2B">
              <w:rPr>
                <w:rFonts w:ascii="Times New Roman" w:hAnsi="Times New Roman" w:cs="Times New Roman"/>
                <w:sz w:val="20"/>
              </w:rPr>
              <w:tab/>
              <w:t>rekomendujemy nie rezygnować przy lokalach na rynku wtórnym z informacji o kondygnacji, na której mieści się lokal i liczbie kondygnacji w budynku.</w:t>
            </w:r>
          </w:p>
          <w:p w14:paraId="6215660B" w14:textId="2B04FB8E"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Wszystkie te cechy są cenotwórcze, a więc istotne z punktu widzenia oceny wartości zabezpieczenia na nieruchomości.</w:t>
            </w:r>
          </w:p>
        </w:tc>
        <w:tc>
          <w:tcPr>
            <w:tcW w:w="4160" w:type="dxa"/>
          </w:tcPr>
          <w:p w14:paraId="6154C68B" w14:textId="7FF65BAE" w:rsidR="00F85687" w:rsidRPr="00A21099" w:rsidRDefault="00F85687" w:rsidP="00F85687">
            <w:pPr>
              <w:spacing w:before="120" w:after="120"/>
              <w:jc w:val="both"/>
              <w:rPr>
                <w:rFonts w:ascii="Times New Roman" w:hAnsi="Times New Roman" w:cs="Times New Roman"/>
                <w:b/>
                <w:bCs/>
                <w:sz w:val="20"/>
              </w:rPr>
            </w:pPr>
            <w:r w:rsidRPr="00A21099">
              <w:rPr>
                <w:rFonts w:ascii="Times New Roman" w:hAnsi="Times New Roman" w:cs="Times New Roman"/>
                <w:b/>
                <w:bCs/>
                <w:sz w:val="20"/>
              </w:rPr>
              <w:t>Uwag</w:t>
            </w:r>
            <w:r w:rsidR="00F31BBB">
              <w:rPr>
                <w:rFonts w:ascii="Times New Roman" w:hAnsi="Times New Roman" w:cs="Times New Roman"/>
                <w:b/>
                <w:bCs/>
                <w:sz w:val="20"/>
              </w:rPr>
              <w:t>i</w:t>
            </w:r>
            <w:r w:rsidRPr="00A21099">
              <w:rPr>
                <w:rFonts w:ascii="Times New Roman" w:hAnsi="Times New Roman" w:cs="Times New Roman"/>
                <w:b/>
                <w:bCs/>
                <w:sz w:val="20"/>
              </w:rPr>
              <w:t xml:space="preserve"> nieuwzględnion</w:t>
            </w:r>
            <w:r w:rsidR="00F31BBB">
              <w:rPr>
                <w:rFonts w:ascii="Times New Roman" w:hAnsi="Times New Roman" w:cs="Times New Roman"/>
                <w:b/>
                <w:bCs/>
                <w:sz w:val="20"/>
              </w:rPr>
              <w:t>e</w:t>
            </w:r>
          </w:p>
          <w:p w14:paraId="0C51BD3B" w14:textId="77777777" w:rsidR="00F85687" w:rsidRDefault="00F85687" w:rsidP="00F85687">
            <w:pPr>
              <w:spacing w:before="120" w:after="120"/>
              <w:jc w:val="both"/>
              <w:rPr>
                <w:rFonts w:ascii="Times New Roman" w:hAnsi="Times New Roman" w:cs="Times New Roman"/>
                <w:sz w:val="20"/>
              </w:rPr>
            </w:pPr>
            <w:r w:rsidRPr="007B48FA">
              <w:rPr>
                <w:rFonts w:ascii="Times New Roman" w:hAnsi="Times New Roman" w:cs="Times New Roman"/>
                <w:sz w:val="20"/>
              </w:rPr>
              <w:t>Portal DOM będzie korzystał z danych i</w:t>
            </w:r>
            <w:r>
              <w:rPr>
                <w:rFonts w:ascii="Times New Roman" w:hAnsi="Times New Roman" w:cs="Times New Roman"/>
                <w:sz w:val="20"/>
              </w:rPr>
              <w:t> </w:t>
            </w:r>
            <w:r w:rsidRPr="007B48FA">
              <w:rPr>
                <w:rFonts w:ascii="Times New Roman" w:hAnsi="Times New Roman" w:cs="Times New Roman"/>
                <w:sz w:val="20"/>
              </w:rPr>
              <w:t>informacji, co do zasady, gromadzonych już przez podmioty publiczne</w:t>
            </w:r>
            <w:r>
              <w:rPr>
                <w:rFonts w:ascii="Times New Roman" w:hAnsi="Times New Roman" w:cs="Times New Roman"/>
                <w:sz w:val="20"/>
              </w:rPr>
              <w:t xml:space="preserve"> uczestniczące w systemie DOM</w:t>
            </w:r>
            <w:r w:rsidRPr="007B48FA">
              <w:rPr>
                <w:rFonts w:ascii="Times New Roman" w:hAnsi="Times New Roman" w:cs="Times New Roman"/>
                <w:sz w:val="20"/>
              </w:rPr>
              <w:t xml:space="preserve">. Dokonane rozszerzenia zakresów danych i informacji zbieranych przez </w:t>
            </w:r>
            <w:r>
              <w:rPr>
                <w:rFonts w:ascii="Times New Roman" w:hAnsi="Times New Roman" w:cs="Times New Roman"/>
                <w:sz w:val="20"/>
              </w:rPr>
              <w:t>te</w:t>
            </w:r>
            <w:r w:rsidRPr="007B48FA">
              <w:rPr>
                <w:rFonts w:ascii="Times New Roman" w:hAnsi="Times New Roman" w:cs="Times New Roman"/>
                <w:sz w:val="20"/>
              </w:rPr>
              <w:t xml:space="preserve"> podmioty są motywowane, w pierwszej kolejności, przez potrzeby stojące dotychczas za zbieraniem tych danych i informacji. Zasilenie Portalu DOM jest w tym kontekście motywacją wtórną.</w:t>
            </w:r>
          </w:p>
          <w:p w14:paraId="2F3D6066" w14:textId="4FE6ED2F" w:rsidR="00F85687" w:rsidRPr="00C60A77" w:rsidRDefault="00F85687" w:rsidP="00F85687">
            <w:pPr>
              <w:spacing w:before="120" w:after="120"/>
              <w:jc w:val="both"/>
              <w:rPr>
                <w:rFonts w:ascii="Times New Roman" w:hAnsi="Times New Roman" w:cs="Times New Roman"/>
                <w:sz w:val="20"/>
              </w:rPr>
            </w:pPr>
            <w:r w:rsidRPr="00C60A77">
              <w:rPr>
                <w:rFonts w:ascii="Times New Roman" w:hAnsi="Times New Roman" w:cs="Times New Roman"/>
                <w:sz w:val="20"/>
              </w:rPr>
              <w:t>Projektodawca ma świadomość, że prezentacja statystyk cen transakcyjnych opartych na tak ogólnych parametrach jak przyjęte nie będzie uwzględniała części czynników wpływających na cenę, np. stanu lokalu, jego wyposażenia, np.</w:t>
            </w:r>
            <w:r>
              <w:rPr>
                <w:rFonts w:ascii="Times New Roman" w:hAnsi="Times New Roman" w:cs="Times New Roman"/>
                <w:sz w:val="20"/>
              </w:rPr>
              <w:t> </w:t>
            </w:r>
            <w:r w:rsidRPr="00C60A77">
              <w:rPr>
                <w:rFonts w:ascii="Times New Roman" w:hAnsi="Times New Roman" w:cs="Times New Roman"/>
                <w:sz w:val="20"/>
              </w:rPr>
              <w:t>w</w:t>
            </w:r>
            <w:r>
              <w:rPr>
                <w:rFonts w:ascii="Times New Roman" w:hAnsi="Times New Roman" w:cs="Times New Roman"/>
                <w:sz w:val="20"/>
              </w:rPr>
              <w:t> </w:t>
            </w:r>
            <w:r w:rsidRPr="00C60A77">
              <w:rPr>
                <w:rFonts w:ascii="Times New Roman" w:hAnsi="Times New Roman" w:cs="Times New Roman"/>
                <w:sz w:val="20"/>
              </w:rPr>
              <w:t>meble i</w:t>
            </w:r>
            <w:r>
              <w:rPr>
                <w:rFonts w:ascii="Times New Roman" w:hAnsi="Times New Roman" w:cs="Times New Roman"/>
                <w:sz w:val="20"/>
              </w:rPr>
              <w:t> </w:t>
            </w:r>
            <w:r w:rsidRPr="00C60A77">
              <w:rPr>
                <w:rFonts w:ascii="Times New Roman" w:hAnsi="Times New Roman" w:cs="Times New Roman"/>
                <w:sz w:val="20"/>
              </w:rPr>
              <w:t xml:space="preserve">sprzęt AGD, różnic w nakładach na wykończenie, walorów najbliższego otoczenia czy innych indywidualnych czynników </w:t>
            </w:r>
            <w:r>
              <w:rPr>
                <w:rFonts w:ascii="Times New Roman" w:hAnsi="Times New Roman" w:cs="Times New Roman"/>
                <w:sz w:val="20"/>
              </w:rPr>
              <w:t>kształtujących</w:t>
            </w:r>
            <w:r w:rsidRPr="00C60A77">
              <w:rPr>
                <w:rFonts w:ascii="Times New Roman" w:hAnsi="Times New Roman" w:cs="Times New Roman"/>
                <w:sz w:val="20"/>
              </w:rPr>
              <w:t xml:space="preserve"> wartość nieruchomości, co oczywiście może ograniczać wartość </w:t>
            </w:r>
            <w:r w:rsidRPr="00C60A77">
              <w:rPr>
                <w:rFonts w:ascii="Times New Roman" w:hAnsi="Times New Roman" w:cs="Times New Roman"/>
                <w:sz w:val="20"/>
              </w:rPr>
              <w:lastRenderedPageBreak/>
              <w:t>porównawczą dokonywanych zestawień, a</w:t>
            </w:r>
            <w:r>
              <w:rPr>
                <w:rFonts w:ascii="Times New Roman" w:hAnsi="Times New Roman" w:cs="Times New Roman"/>
                <w:sz w:val="20"/>
              </w:rPr>
              <w:t> </w:t>
            </w:r>
            <w:r w:rsidRPr="00C60A77">
              <w:rPr>
                <w:rFonts w:ascii="Times New Roman" w:hAnsi="Times New Roman" w:cs="Times New Roman"/>
                <w:sz w:val="20"/>
              </w:rPr>
              <w:t>w</w:t>
            </w:r>
            <w:r>
              <w:rPr>
                <w:rFonts w:ascii="Times New Roman" w:hAnsi="Times New Roman" w:cs="Times New Roman"/>
                <w:sz w:val="20"/>
              </w:rPr>
              <w:t> </w:t>
            </w:r>
            <w:r w:rsidRPr="00C60A77">
              <w:rPr>
                <w:rFonts w:ascii="Times New Roman" w:hAnsi="Times New Roman" w:cs="Times New Roman"/>
                <w:sz w:val="20"/>
              </w:rPr>
              <w:t>konsekwencji użyteczność wyników. Zaproponowany katalog kategorii danych i</w:t>
            </w:r>
            <w:r>
              <w:rPr>
                <w:rFonts w:ascii="Times New Roman" w:hAnsi="Times New Roman" w:cs="Times New Roman"/>
                <w:sz w:val="20"/>
              </w:rPr>
              <w:t> </w:t>
            </w:r>
            <w:r w:rsidRPr="00C60A77">
              <w:rPr>
                <w:rFonts w:ascii="Times New Roman" w:hAnsi="Times New Roman" w:cs="Times New Roman"/>
                <w:sz w:val="20"/>
              </w:rPr>
              <w:t xml:space="preserve">informacji stanowi w tym kontekście wyraz kompromisu pomiędzy różnymi racjami: potrzebą zapewnienia poprawności danych oraz użyteczności wyników, potrzebą dostarczania możliwie aktualnych informacji, dostępnością danych, obciążeniem obowiązkami informacyjnymi </w:t>
            </w:r>
            <w:r>
              <w:rPr>
                <w:rFonts w:ascii="Times New Roman" w:hAnsi="Times New Roman" w:cs="Times New Roman"/>
                <w:sz w:val="20"/>
              </w:rPr>
              <w:t>podmiotów</w:t>
            </w:r>
            <w:r w:rsidRPr="00C60A77">
              <w:rPr>
                <w:rFonts w:ascii="Times New Roman" w:hAnsi="Times New Roman" w:cs="Times New Roman"/>
                <w:sz w:val="20"/>
              </w:rPr>
              <w:t xml:space="preserve"> działających w</w:t>
            </w:r>
            <w:r>
              <w:rPr>
                <w:rFonts w:ascii="Times New Roman" w:hAnsi="Times New Roman" w:cs="Times New Roman"/>
                <w:sz w:val="20"/>
              </w:rPr>
              <w:t> </w:t>
            </w:r>
            <w:r w:rsidRPr="00C60A77">
              <w:rPr>
                <w:rFonts w:ascii="Times New Roman" w:hAnsi="Times New Roman" w:cs="Times New Roman"/>
                <w:sz w:val="20"/>
              </w:rPr>
              <w:t>systemie etc.</w:t>
            </w:r>
          </w:p>
          <w:p w14:paraId="60A8024B" w14:textId="2F20FEC2" w:rsidR="00F85687" w:rsidRPr="00A91B10" w:rsidRDefault="00F85687" w:rsidP="00F85687">
            <w:pPr>
              <w:spacing w:before="120" w:after="120"/>
              <w:jc w:val="both"/>
              <w:rPr>
                <w:rFonts w:ascii="Times New Roman" w:hAnsi="Times New Roman" w:cs="Times New Roman"/>
                <w:sz w:val="20"/>
                <w:szCs w:val="20"/>
              </w:rPr>
            </w:pPr>
            <w:r w:rsidRPr="00C60A77">
              <w:rPr>
                <w:rFonts w:ascii="Times New Roman" w:hAnsi="Times New Roman" w:cs="Times New Roman"/>
                <w:sz w:val="20"/>
              </w:rPr>
              <w:t xml:space="preserve">Wiele propozycji </w:t>
            </w:r>
            <w:r>
              <w:rPr>
                <w:rFonts w:ascii="Times New Roman" w:hAnsi="Times New Roman" w:cs="Times New Roman"/>
                <w:sz w:val="20"/>
              </w:rPr>
              <w:t>zgłaszanych przez ZBP i inne podmioty uczestniczące w uzgodnieniach</w:t>
            </w:r>
            <w:r w:rsidRPr="00C60A77">
              <w:rPr>
                <w:rFonts w:ascii="Times New Roman" w:hAnsi="Times New Roman" w:cs="Times New Roman"/>
                <w:sz w:val="20"/>
              </w:rPr>
              <w:t xml:space="preserve"> było rozważanych na</w:t>
            </w:r>
            <w:r>
              <w:rPr>
                <w:rFonts w:ascii="Times New Roman" w:hAnsi="Times New Roman" w:cs="Times New Roman"/>
                <w:sz w:val="20"/>
              </w:rPr>
              <w:t xml:space="preserve"> </w:t>
            </w:r>
            <w:r w:rsidRPr="00A91B10">
              <w:rPr>
                <w:rFonts w:ascii="Times New Roman" w:hAnsi="Times New Roman" w:cs="Times New Roman"/>
                <w:sz w:val="20"/>
                <w:szCs w:val="20"/>
              </w:rPr>
              <w:t xml:space="preserve">etapie prac koncepcyjnych nad systemem portalu prezentującego statystyki dotyczące cen transakcyjnych nieruchomości mieszkaniowych lub w toku dotychczasowego procesu legislacyjnego projektu ustawy. Motywy rezygnacji z uwzględnienia takich kategorii danych i informacji obejmowały </w:t>
            </w:r>
            <w:r>
              <w:rPr>
                <w:rFonts w:ascii="Times New Roman" w:hAnsi="Times New Roman" w:cs="Times New Roman"/>
                <w:sz w:val="20"/>
                <w:szCs w:val="20"/>
              </w:rPr>
              <w:t>np.</w:t>
            </w:r>
            <w:r w:rsidRPr="00A91B10">
              <w:rPr>
                <w:rFonts w:ascii="Times New Roman" w:hAnsi="Times New Roman" w:cs="Times New Roman"/>
                <w:sz w:val="20"/>
                <w:szCs w:val="20"/>
              </w:rPr>
              <w:t>:</w:t>
            </w:r>
          </w:p>
          <w:p w14:paraId="286CDDE6" w14:textId="05B571BA" w:rsidR="00F85687" w:rsidRPr="00A91B10" w:rsidRDefault="00F85687" w:rsidP="00F85687">
            <w:pPr>
              <w:pStyle w:val="Akapitzlist"/>
              <w:numPr>
                <w:ilvl w:val="0"/>
                <w:numId w:val="17"/>
              </w:numPr>
              <w:spacing w:before="120" w:after="120"/>
              <w:contextualSpacing w:val="0"/>
              <w:jc w:val="both"/>
              <w:rPr>
                <w:rFonts w:ascii="Times New Roman" w:hAnsi="Times New Roman" w:cs="Times New Roman"/>
                <w:sz w:val="20"/>
                <w:szCs w:val="20"/>
              </w:rPr>
            </w:pPr>
            <w:r w:rsidRPr="00A91B10">
              <w:rPr>
                <w:rFonts w:ascii="Times New Roman" w:hAnsi="Times New Roman" w:cs="Times New Roman"/>
                <w:sz w:val="20"/>
                <w:szCs w:val="20"/>
              </w:rPr>
              <w:t>związane z daną kategorią trudności w parametryzowaniu (trudności w zapewnieniu odpowiedniej porównywalności danych, a w konsekwencji użyteczności i wiarygodności statystyk)</w:t>
            </w:r>
            <w:r w:rsidR="00E918C9">
              <w:rPr>
                <w:rFonts w:ascii="Times New Roman" w:hAnsi="Times New Roman" w:cs="Times New Roman"/>
                <w:sz w:val="20"/>
                <w:szCs w:val="20"/>
              </w:rPr>
              <w:t>,</w:t>
            </w:r>
            <w:r w:rsidRPr="00A91B10">
              <w:rPr>
                <w:rFonts w:ascii="Times New Roman" w:hAnsi="Times New Roman" w:cs="Times New Roman"/>
                <w:sz w:val="20"/>
                <w:szCs w:val="20"/>
              </w:rPr>
              <w:t xml:space="preserve"> jak ma to miejsce np. w przypadku</w:t>
            </w:r>
            <w:r>
              <w:rPr>
                <w:rFonts w:ascii="Times New Roman" w:hAnsi="Times New Roman" w:cs="Times New Roman"/>
                <w:sz w:val="20"/>
                <w:szCs w:val="20"/>
              </w:rPr>
              <w:t xml:space="preserve"> </w:t>
            </w:r>
            <w:r w:rsidRPr="00A91B10">
              <w:rPr>
                <w:rFonts w:ascii="Times New Roman" w:hAnsi="Times New Roman" w:cs="Times New Roman"/>
                <w:sz w:val="20"/>
                <w:szCs w:val="20"/>
              </w:rPr>
              <w:t>standard</w:t>
            </w:r>
            <w:r>
              <w:rPr>
                <w:rFonts w:ascii="Times New Roman" w:hAnsi="Times New Roman" w:cs="Times New Roman"/>
                <w:sz w:val="20"/>
                <w:szCs w:val="20"/>
              </w:rPr>
              <w:t>u</w:t>
            </w:r>
            <w:r w:rsidRPr="00A91B10">
              <w:rPr>
                <w:rFonts w:ascii="Times New Roman" w:hAnsi="Times New Roman" w:cs="Times New Roman"/>
                <w:sz w:val="20"/>
                <w:szCs w:val="20"/>
              </w:rPr>
              <w:t xml:space="preserve"> mieszkania,</w:t>
            </w:r>
          </w:p>
          <w:p w14:paraId="7389948C" w14:textId="0859B744" w:rsidR="00F85687" w:rsidRPr="00A91B10" w:rsidRDefault="00F85687" w:rsidP="00F85687">
            <w:pPr>
              <w:pStyle w:val="Akapitzlist"/>
              <w:numPr>
                <w:ilvl w:val="0"/>
                <w:numId w:val="17"/>
              </w:numPr>
              <w:spacing w:before="120" w:after="120"/>
              <w:contextualSpacing w:val="0"/>
              <w:jc w:val="both"/>
              <w:rPr>
                <w:rFonts w:ascii="Times New Roman" w:hAnsi="Times New Roman" w:cs="Times New Roman"/>
                <w:color w:val="0070C0"/>
                <w:sz w:val="20"/>
                <w:szCs w:val="20"/>
                <w:u w:val="single"/>
              </w:rPr>
            </w:pPr>
            <w:r w:rsidRPr="00A91B10">
              <w:rPr>
                <w:rFonts w:ascii="Times New Roman" w:hAnsi="Times New Roman" w:cs="Times New Roman"/>
                <w:sz w:val="20"/>
                <w:szCs w:val="20"/>
              </w:rPr>
              <w:t xml:space="preserve">brak dostępu do danej kategorii danych, jak ma to miejsce w przypadku </w:t>
            </w:r>
            <w:r w:rsidR="00415944">
              <w:rPr>
                <w:rFonts w:ascii="Times New Roman" w:hAnsi="Times New Roman" w:cs="Times New Roman"/>
                <w:sz w:val="20"/>
                <w:szCs w:val="20"/>
              </w:rPr>
              <w:t>roku zakończenia budowy (</w:t>
            </w:r>
            <w:r w:rsidR="00415944" w:rsidRPr="00415944">
              <w:rPr>
                <w:rFonts w:ascii="Times New Roman" w:hAnsi="Times New Roman" w:cs="Times New Roman"/>
                <w:sz w:val="20"/>
                <w:szCs w:val="20"/>
              </w:rPr>
              <w:t>w części przypadków</w:t>
            </w:r>
            <w:r w:rsidR="00415944">
              <w:rPr>
                <w:rFonts w:ascii="Times New Roman" w:hAnsi="Times New Roman" w:cs="Times New Roman"/>
                <w:sz w:val="20"/>
                <w:szCs w:val="20"/>
              </w:rPr>
              <w:t>) oraz</w:t>
            </w:r>
            <w:r w:rsidR="00415944" w:rsidRPr="00415944">
              <w:rPr>
                <w:rFonts w:ascii="Times New Roman" w:hAnsi="Times New Roman" w:cs="Times New Roman"/>
                <w:sz w:val="20"/>
                <w:szCs w:val="20"/>
              </w:rPr>
              <w:t xml:space="preserve"> </w:t>
            </w:r>
            <w:r w:rsidRPr="00A91B10">
              <w:rPr>
                <w:rFonts w:ascii="Times New Roman" w:hAnsi="Times New Roman" w:cs="Times New Roman"/>
                <w:sz w:val="20"/>
                <w:szCs w:val="20"/>
              </w:rPr>
              <w:t xml:space="preserve">(poza </w:t>
            </w:r>
            <w:r w:rsidRPr="00A91B10">
              <w:rPr>
                <w:rFonts w:ascii="Times New Roman" w:hAnsi="Times New Roman" w:cs="Times New Roman"/>
                <w:sz w:val="20"/>
                <w:szCs w:val="20"/>
              </w:rPr>
              <w:t>nieruchomościami objętymi obowiązkiem zgłaszania do Ewidencji Deweloperskiego Funduszu Gwarancyjnego) n</w:t>
            </w:r>
            <w:r>
              <w:rPr>
                <w:rFonts w:ascii="Times New Roman" w:hAnsi="Times New Roman" w:cs="Times New Roman"/>
                <w:sz w:val="20"/>
                <w:szCs w:val="20"/>
              </w:rPr>
              <w:t>umeru</w:t>
            </w:r>
            <w:r w:rsidRPr="00A91B10">
              <w:rPr>
                <w:rFonts w:ascii="Times New Roman" w:hAnsi="Times New Roman" w:cs="Times New Roman"/>
                <w:sz w:val="20"/>
                <w:szCs w:val="20"/>
              </w:rPr>
              <w:t xml:space="preserve"> kondygnacji.</w:t>
            </w:r>
          </w:p>
          <w:p w14:paraId="0014B074" w14:textId="57FD615D" w:rsidR="00F85687" w:rsidRPr="00C60A77" w:rsidRDefault="00F85687" w:rsidP="00F85687">
            <w:pPr>
              <w:spacing w:before="120" w:after="120"/>
              <w:jc w:val="both"/>
              <w:rPr>
                <w:rFonts w:ascii="Times New Roman" w:hAnsi="Times New Roman" w:cs="Times New Roman"/>
                <w:sz w:val="20"/>
              </w:rPr>
            </w:pPr>
            <w:r w:rsidRPr="00C60A77">
              <w:rPr>
                <w:rFonts w:ascii="Times New Roman" w:hAnsi="Times New Roman" w:cs="Times New Roman"/>
                <w:sz w:val="20"/>
              </w:rPr>
              <w:t>Wydaje się</w:t>
            </w:r>
            <w:r>
              <w:rPr>
                <w:rFonts w:ascii="Times New Roman" w:hAnsi="Times New Roman" w:cs="Times New Roman"/>
                <w:sz w:val="20"/>
              </w:rPr>
              <w:t xml:space="preserve"> ponadto</w:t>
            </w:r>
            <w:r w:rsidRPr="00C60A77">
              <w:rPr>
                <w:rFonts w:ascii="Times New Roman" w:hAnsi="Times New Roman" w:cs="Times New Roman"/>
                <w:sz w:val="20"/>
              </w:rPr>
              <w:t>, że część proponowanych</w:t>
            </w:r>
            <w:r>
              <w:rPr>
                <w:rFonts w:ascii="Times New Roman" w:hAnsi="Times New Roman" w:cs="Times New Roman"/>
                <w:sz w:val="20"/>
              </w:rPr>
              <w:t xml:space="preserve"> przez uczestników uzgodnień</w:t>
            </w:r>
            <w:r w:rsidRPr="00C60A77">
              <w:rPr>
                <w:rFonts w:ascii="Times New Roman" w:hAnsi="Times New Roman" w:cs="Times New Roman"/>
                <w:sz w:val="20"/>
              </w:rPr>
              <w:t xml:space="preserve"> kategorii </w:t>
            </w:r>
            <w:r w:rsidR="007C5A53">
              <w:rPr>
                <w:rFonts w:ascii="Times New Roman" w:hAnsi="Times New Roman" w:cs="Times New Roman"/>
                <w:sz w:val="20"/>
              </w:rPr>
              <w:t xml:space="preserve">(jak np. pomieszczenia przynależne) </w:t>
            </w:r>
            <w:r w:rsidRPr="00C60A77">
              <w:rPr>
                <w:rFonts w:ascii="Times New Roman" w:hAnsi="Times New Roman" w:cs="Times New Roman"/>
                <w:sz w:val="20"/>
              </w:rPr>
              <w:t xml:space="preserve">ma walor </w:t>
            </w:r>
            <w:r w:rsidRPr="00C60A77">
              <w:rPr>
                <w:rFonts w:ascii="Times New Roman" w:hAnsi="Times New Roman" w:cs="Times New Roman"/>
                <w:sz w:val="20"/>
              </w:rPr>
              <w:lastRenderedPageBreak/>
              <w:t xml:space="preserve">uzupełniający w kontekście podstawowych celów działania Portalu (także walor uzupełniający dla użytkownika Portalu). </w:t>
            </w:r>
          </w:p>
          <w:p w14:paraId="34C213B4" w14:textId="77777777" w:rsidR="00F85687" w:rsidRPr="00C60A77" w:rsidRDefault="00F85687" w:rsidP="00F85687">
            <w:pPr>
              <w:spacing w:before="120" w:after="120"/>
              <w:jc w:val="both"/>
              <w:rPr>
                <w:rFonts w:ascii="Times New Roman" w:hAnsi="Times New Roman" w:cs="Times New Roman"/>
                <w:sz w:val="20"/>
              </w:rPr>
            </w:pPr>
            <w:r w:rsidRPr="00C60A77">
              <w:rPr>
                <w:rFonts w:ascii="Times New Roman" w:hAnsi="Times New Roman" w:cs="Times New Roman"/>
                <w:sz w:val="20"/>
              </w:rPr>
              <w:t>Niezależnie od powyższego:</w:t>
            </w:r>
          </w:p>
          <w:p w14:paraId="147AB7C3" w14:textId="77777777" w:rsidR="00F85687" w:rsidRPr="00A91B10" w:rsidRDefault="00F85687" w:rsidP="00F85687">
            <w:pPr>
              <w:pStyle w:val="Akapitzlist"/>
              <w:numPr>
                <w:ilvl w:val="0"/>
                <w:numId w:val="18"/>
              </w:numPr>
              <w:spacing w:before="120" w:after="120"/>
              <w:ind w:left="357" w:hanging="357"/>
              <w:contextualSpacing w:val="0"/>
              <w:jc w:val="both"/>
              <w:rPr>
                <w:rFonts w:ascii="Times New Roman" w:hAnsi="Times New Roman" w:cs="Times New Roman"/>
                <w:sz w:val="20"/>
                <w:szCs w:val="20"/>
              </w:rPr>
            </w:pPr>
            <w:r w:rsidRPr="00A91B10">
              <w:rPr>
                <w:rFonts w:ascii="Times New Roman" w:hAnsi="Times New Roman" w:cs="Times New Roman"/>
                <w:sz w:val="20"/>
                <w:szCs w:val="20"/>
              </w:rPr>
              <w:t>podstawowym celem uruchomienia Portalu jest zapewnienie osobie szukającej mieszkania aktualnych i wiarygodnych informacji o cenach nieruchomości mieszkaniowych (umożliwienie porównania cen w interesującej ją okolicy i tym samym ułatwienie jej wyboru korzystnej dla niej oferty), a dopiero w dalszej kolejności ułatwienie organom publicznym realizacji zadań z zakresu polityki mieszkaniowej;</w:t>
            </w:r>
          </w:p>
          <w:p w14:paraId="42E86D03" w14:textId="01447303" w:rsidR="00F85687" w:rsidRDefault="00F85687" w:rsidP="00F85687">
            <w:pPr>
              <w:pStyle w:val="Akapitzlist"/>
              <w:numPr>
                <w:ilvl w:val="0"/>
                <w:numId w:val="18"/>
              </w:numPr>
              <w:spacing w:before="120" w:after="120"/>
              <w:ind w:left="357" w:hanging="357"/>
              <w:contextualSpacing w:val="0"/>
              <w:jc w:val="both"/>
              <w:rPr>
                <w:rFonts w:ascii="Times New Roman" w:hAnsi="Times New Roman" w:cs="Times New Roman"/>
                <w:sz w:val="20"/>
                <w:szCs w:val="20"/>
              </w:rPr>
            </w:pPr>
            <w:r w:rsidRPr="00A91B10">
              <w:rPr>
                <w:rFonts w:ascii="Times New Roman" w:hAnsi="Times New Roman" w:cs="Times New Roman"/>
                <w:sz w:val="20"/>
                <w:szCs w:val="20"/>
              </w:rPr>
              <w:t xml:space="preserve">każda propozycja kategorii danych powinna być rozważana przez pryzmat użyteczności, tj. czy stanowi wartość dodaną dla celów </w:t>
            </w:r>
            <w:r w:rsidR="00C47EA2">
              <w:rPr>
                <w:rFonts w:ascii="Times New Roman" w:hAnsi="Times New Roman" w:cs="Times New Roman"/>
                <w:sz w:val="20"/>
                <w:szCs w:val="20"/>
              </w:rPr>
              <w:t>P</w:t>
            </w:r>
            <w:r w:rsidRPr="00A91B10">
              <w:rPr>
                <w:rFonts w:ascii="Times New Roman" w:hAnsi="Times New Roman" w:cs="Times New Roman"/>
                <w:sz w:val="20"/>
                <w:szCs w:val="20"/>
              </w:rPr>
              <w:t xml:space="preserve">ortalu (w szczególności dla użytkownika </w:t>
            </w:r>
            <w:r w:rsidR="00C47EA2">
              <w:rPr>
                <w:rFonts w:ascii="Times New Roman" w:hAnsi="Times New Roman" w:cs="Times New Roman"/>
                <w:sz w:val="20"/>
                <w:szCs w:val="20"/>
              </w:rPr>
              <w:t>P</w:t>
            </w:r>
            <w:r w:rsidRPr="00A91B10">
              <w:rPr>
                <w:rFonts w:ascii="Times New Roman" w:hAnsi="Times New Roman" w:cs="Times New Roman"/>
                <w:sz w:val="20"/>
                <w:szCs w:val="20"/>
              </w:rPr>
              <w:t>ortalu)</w:t>
            </w:r>
            <w:r>
              <w:rPr>
                <w:rFonts w:ascii="Times New Roman" w:hAnsi="Times New Roman" w:cs="Times New Roman"/>
                <w:sz w:val="20"/>
                <w:szCs w:val="20"/>
              </w:rPr>
              <w:t xml:space="preserve"> oraz adekwatności użyteczności do wprowadzanego obciążenia</w:t>
            </w:r>
            <w:r w:rsidRPr="00A91B10">
              <w:rPr>
                <w:rFonts w:ascii="Times New Roman" w:hAnsi="Times New Roman" w:cs="Times New Roman"/>
                <w:sz w:val="20"/>
                <w:szCs w:val="20"/>
              </w:rPr>
              <w:t>;</w:t>
            </w:r>
          </w:p>
          <w:p w14:paraId="69F89B18" w14:textId="69AAD644" w:rsidR="00F85687" w:rsidRPr="00F31BBB" w:rsidRDefault="00F85687" w:rsidP="00F85687">
            <w:pPr>
              <w:pStyle w:val="Akapitzlist"/>
              <w:numPr>
                <w:ilvl w:val="0"/>
                <w:numId w:val="18"/>
              </w:numPr>
              <w:spacing w:before="120" w:after="120"/>
              <w:ind w:left="357" w:hanging="357"/>
              <w:contextualSpacing w:val="0"/>
              <w:jc w:val="both"/>
              <w:rPr>
                <w:rFonts w:ascii="Times New Roman" w:hAnsi="Times New Roman" w:cs="Times New Roman"/>
                <w:sz w:val="20"/>
                <w:szCs w:val="20"/>
              </w:rPr>
            </w:pPr>
            <w:r w:rsidRPr="00F31BBB">
              <w:rPr>
                <w:rFonts w:ascii="Times New Roman" w:hAnsi="Times New Roman" w:cs="Times New Roman"/>
                <w:sz w:val="20"/>
                <w:szCs w:val="20"/>
              </w:rPr>
              <w:t>każda dodawana kategoria zmniejsza użyteczność Portalu (zwiększenie liczby zmiennych branych pod uwagę może w niektórych – np. generujących mniejszą liczbę transakcji – lokalizacjach uniemożliwiać wyświetlenie wyniku).</w:t>
            </w:r>
          </w:p>
        </w:tc>
      </w:tr>
      <w:tr w:rsidR="00F85687" w:rsidRPr="00FF4480" w14:paraId="021C7FF0" w14:textId="77777777" w:rsidTr="00E9565F">
        <w:trPr>
          <w:jc w:val="center"/>
        </w:trPr>
        <w:tc>
          <w:tcPr>
            <w:tcW w:w="554" w:type="dxa"/>
          </w:tcPr>
          <w:p w14:paraId="08DB1337"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77CE6D7" w14:textId="018D328A" w:rsidR="00F85687" w:rsidRPr="00ED4A2B" w:rsidRDefault="00F85687" w:rsidP="00F85687">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6DB0B958" w14:textId="20D88CF6" w:rsidR="00F85687" w:rsidRPr="00ED4A2B" w:rsidRDefault="00F85687" w:rsidP="00F85687">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56a ust. 3</w:t>
            </w:r>
          </w:p>
        </w:tc>
        <w:tc>
          <w:tcPr>
            <w:tcW w:w="5670" w:type="dxa"/>
            <w:vAlign w:val="center"/>
          </w:tcPr>
          <w:p w14:paraId="5B5D97A0"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 xml:space="preserve">Postuluje się dokonanie następujących zmian w ust. 3 pkt 2): </w:t>
            </w:r>
          </w:p>
          <w:p w14:paraId="308EC059"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 xml:space="preserve">- lit. a) o treści „datę zawarcia umowy” na „datę zawarcia, zmiany i rozwiązania umowy oraz odstąpienia od niej”, </w:t>
            </w:r>
          </w:p>
          <w:p w14:paraId="6F75ED65" w14:textId="77777777"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 xml:space="preserve">- po lit c) dodać lit. c (1) o treści: „numer pozwolenia na użytkowanie oraz nazwa organu, który je wydał albo numer zgłoszenia zakończenia robót oraz oznaczenie organu, do którego dokonano zgłoszenia robót wraz z informacją o braki wniesienia sprzeciwu przez ten organ”, </w:t>
            </w:r>
          </w:p>
          <w:p w14:paraId="2FC34CBF" w14:textId="62050363"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lastRenderedPageBreak/>
              <w:t>- w zakresie lit. g) o treści „liczba pokoi w lokalu mieszkalnym albo domu jednorodzinnym objętym umową” zmiana na „liczba, rodzaj</w:t>
            </w:r>
            <w:r>
              <w:rPr>
                <w:rFonts w:ascii="Times New Roman" w:hAnsi="Times New Roman" w:cs="Times New Roman"/>
                <w:sz w:val="20"/>
              </w:rPr>
              <w:t xml:space="preserve"> </w:t>
            </w:r>
            <w:r w:rsidRPr="00ED4A2B">
              <w:rPr>
                <w:rFonts w:ascii="Times New Roman" w:hAnsi="Times New Roman" w:cs="Times New Roman"/>
                <w:sz w:val="20"/>
              </w:rPr>
              <w:t>i powierzchnia pomieszczeń w lokalu mieszkalnym albo domu jednorodzinnym objętym umową, w przypadku lokalu mieszkalnego – także liczba i powierzchnia pomieszczeń przynależnych oraz zakres uprawnień nabywcy lokalu wynikający zawartej umowy o podziale quad usum nieruchomości wspólnej”</w:t>
            </w:r>
            <w:r>
              <w:rPr>
                <w:rFonts w:ascii="Times New Roman" w:hAnsi="Times New Roman" w:cs="Times New Roman"/>
                <w:sz w:val="20"/>
              </w:rPr>
              <w:t>.</w:t>
            </w:r>
          </w:p>
        </w:tc>
        <w:tc>
          <w:tcPr>
            <w:tcW w:w="4160" w:type="dxa"/>
          </w:tcPr>
          <w:p w14:paraId="4EC4EC90" w14:textId="77777777" w:rsidR="00A425E8" w:rsidRPr="00A21099" w:rsidRDefault="00A425E8" w:rsidP="00A425E8">
            <w:pPr>
              <w:spacing w:before="120" w:after="120"/>
              <w:jc w:val="both"/>
              <w:rPr>
                <w:rFonts w:ascii="Times New Roman" w:hAnsi="Times New Roman" w:cs="Times New Roman"/>
                <w:b/>
                <w:bCs/>
                <w:sz w:val="20"/>
              </w:rPr>
            </w:pPr>
            <w:r w:rsidRPr="00A21099">
              <w:rPr>
                <w:rFonts w:ascii="Times New Roman" w:hAnsi="Times New Roman" w:cs="Times New Roman"/>
                <w:b/>
                <w:bCs/>
                <w:sz w:val="20"/>
              </w:rPr>
              <w:lastRenderedPageBreak/>
              <w:t>Uwag</w:t>
            </w:r>
            <w:r>
              <w:rPr>
                <w:rFonts w:ascii="Times New Roman" w:hAnsi="Times New Roman" w:cs="Times New Roman"/>
                <w:b/>
                <w:bCs/>
                <w:sz w:val="20"/>
              </w:rPr>
              <w:t>i</w:t>
            </w:r>
            <w:r w:rsidRPr="00A21099">
              <w:rPr>
                <w:rFonts w:ascii="Times New Roman" w:hAnsi="Times New Roman" w:cs="Times New Roman"/>
                <w:b/>
                <w:bCs/>
                <w:sz w:val="20"/>
              </w:rPr>
              <w:t xml:space="preserve"> nieuwzględnion</w:t>
            </w:r>
            <w:r>
              <w:rPr>
                <w:rFonts w:ascii="Times New Roman" w:hAnsi="Times New Roman" w:cs="Times New Roman"/>
                <w:b/>
                <w:bCs/>
                <w:sz w:val="20"/>
              </w:rPr>
              <w:t>e</w:t>
            </w:r>
          </w:p>
          <w:p w14:paraId="0CB84DED" w14:textId="02504C5F" w:rsidR="00F85687" w:rsidRDefault="00135D4D" w:rsidP="00F85687">
            <w:pPr>
              <w:spacing w:before="120" w:after="120"/>
              <w:jc w:val="both"/>
              <w:rPr>
                <w:rFonts w:ascii="Times New Roman" w:hAnsi="Times New Roman" w:cs="Times New Roman"/>
                <w:sz w:val="20"/>
              </w:rPr>
            </w:pPr>
            <w:r>
              <w:rPr>
                <w:rFonts w:ascii="Times New Roman" w:hAnsi="Times New Roman" w:cs="Times New Roman"/>
                <w:sz w:val="20"/>
              </w:rPr>
              <w:t>Odnosząc się do pierwszej uwagi, w ocenie projektodawcy dane te nie mają znaczenia dla celów Portalu. Portal ma mieć przede wszystkim wartość użytkową. Nie będzie stanowił rejestru publicznego.</w:t>
            </w:r>
          </w:p>
          <w:p w14:paraId="40CE1863" w14:textId="0F8A0207" w:rsidR="00135D4D" w:rsidRDefault="00135D4D" w:rsidP="00F85687">
            <w:pPr>
              <w:spacing w:before="120" w:after="120"/>
              <w:jc w:val="both"/>
              <w:rPr>
                <w:rFonts w:ascii="Times New Roman" w:hAnsi="Times New Roman" w:cs="Times New Roman"/>
                <w:sz w:val="20"/>
              </w:rPr>
            </w:pPr>
            <w:r>
              <w:rPr>
                <w:rFonts w:ascii="Times New Roman" w:hAnsi="Times New Roman" w:cs="Times New Roman"/>
                <w:sz w:val="20"/>
              </w:rPr>
              <w:t xml:space="preserve">W kontekście drugiej uwagi, mając na względzie dotychczasową argumentację dotyczącą zakresu danych, informacje te są, w ocenie </w:t>
            </w:r>
            <w:r>
              <w:rPr>
                <w:rFonts w:ascii="Times New Roman" w:hAnsi="Times New Roman" w:cs="Times New Roman"/>
                <w:sz w:val="20"/>
              </w:rPr>
              <w:lastRenderedPageBreak/>
              <w:t>projektodawcy, nadmiarowe. ZBP nie przedstawił żadnych argumentów, jaką wartość dodaną dla celów Portalu takie uzupełnienie by niosło</w:t>
            </w:r>
            <w:r w:rsidR="00AF70D0">
              <w:rPr>
                <w:rFonts w:ascii="Times New Roman" w:hAnsi="Times New Roman" w:cs="Times New Roman"/>
                <w:sz w:val="20"/>
              </w:rPr>
              <w:t xml:space="preserve"> (podobnie w kontekście pomieszczeń przynależnych)</w:t>
            </w:r>
            <w:r>
              <w:rPr>
                <w:rFonts w:ascii="Times New Roman" w:hAnsi="Times New Roman" w:cs="Times New Roman"/>
                <w:sz w:val="20"/>
              </w:rPr>
              <w:t>.</w:t>
            </w:r>
          </w:p>
          <w:p w14:paraId="7DDECB97" w14:textId="0BAD0320" w:rsidR="008A7D1F" w:rsidRDefault="00135D4D" w:rsidP="00F85687">
            <w:pPr>
              <w:spacing w:before="120" w:after="120"/>
              <w:jc w:val="both"/>
              <w:rPr>
                <w:rFonts w:ascii="Times New Roman" w:hAnsi="Times New Roman" w:cs="Times New Roman"/>
                <w:sz w:val="20"/>
              </w:rPr>
            </w:pPr>
            <w:r>
              <w:rPr>
                <w:rFonts w:ascii="Times New Roman" w:hAnsi="Times New Roman" w:cs="Times New Roman"/>
                <w:sz w:val="20"/>
              </w:rPr>
              <w:t xml:space="preserve">Odnosząc się do trzeciej uwagi, </w:t>
            </w:r>
            <w:r w:rsidRPr="00135D4D">
              <w:rPr>
                <w:rFonts w:ascii="Times New Roman" w:hAnsi="Times New Roman" w:cs="Times New Roman"/>
                <w:sz w:val="20"/>
              </w:rPr>
              <w:t>na etapie prac koncepcyjnych były rozważane różne pojęcia, w</w:t>
            </w:r>
            <w:r>
              <w:rPr>
                <w:rFonts w:ascii="Times New Roman" w:hAnsi="Times New Roman" w:cs="Times New Roman"/>
                <w:sz w:val="20"/>
              </w:rPr>
              <w:t> </w:t>
            </w:r>
            <w:r w:rsidRPr="00135D4D">
              <w:rPr>
                <w:rFonts w:ascii="Times New Roman" w:hAnsi="Times New Roman" w:cs="Times New Roman"/>
                <w:sz w:val="20"/>
              </w:rPr>
              <w:t xml:space="preserve">tym te wskazane przez </w:t>
            </w:r>
            <w:proofErr w:type="spellStart"/>
            <w:r w:rsidRPr="00135D4D">
              <w:rPr>
                <w:rFonts w:ascii="Times New Roman" w:hAnsi="Times New Roman" w:cs="Times New Roman"/>
                <w:sz w:val="20"/>
              </w:rPr>
              <w:t>Uwagodawcę</w:t>
            </w:r>
            <w:proofErr w:type="spellEnd"/>
            <w:r w:rsidRPr="00135D4D">
              <w:rPr>
                <w:rFonts w:ascii="Times New Roman" w:hAnsi="Times New Roman" w:cs="Times New Roman"/>
                <w:sz w:val="20"/>
              </w:rPr>
              <w:t xml:space="preserve">. Ostatecznie zdecydowano się jednak na odniesienie do pojęcia pokoju. Pojęcie to jest bowiem immanentnym składnikiem opisu oferty sprzedaży mieszkania w praktyce obrotu oraz jedną z kluczowych zmiennych branych pod uwagę przy ocenie oferty. </w:t>
            </w:r>
            <w:r w:rsidR="008A7D1F" w:rsidRPr="008A7D1F">
              <w:rPr>
                <w:rFonts w:ascii="Times New Roman" w:hAnsi="Times New Roman" w:cs="Times New Roman"/>
                <w:sz w:val="20"/>
              </w:rPr>
              <w:t>Innymi słowy, liczba pokoi to podstawowy parametr opisujący zbywaną nieruchomość mieszkaniową w</w:t>
            </w:r>
            <w:r w:rsidR="008A7D1F">
              <w:rPr>
                <w:rFonts w:ascii="Times New Roman" w:hAnsi="Times New Roman" w:cs="Times New Roman"/>
                <w:sz w:val="20"/>
              </w:rPr>
              <w:t> </w:t>
            </w:r>
            <w:r w:rsidR="008A7D1F" w:rsidRPr="008A7D1F">
              <w:rPr>
                <w:rFonts w:ascii="Times New Roman" w:hAnsi="Times New Roman" w:cs="Times New Roman"/>
                <w:sz w:val="20"/>
              </w:rPr>
              <w:t>praktyce obrotu oraz podstawowy parametr brany pod uwagę przy ocenie oferty przez osobę poszukującą mieszkania.</w:t>
            </w:r>
          </w:p>
          <w:p w14:paraId="726404E3" w14:textId="5322ECAF" w:rsidR="00135D4D" w:rsidRPr="008B735E" w:rsidRDefault="00135D4D" w:rsidP="00F85687">
            <w:pPr>
              <w:spacing w:before="120" w:after="120"/>
              <w:jc w:val="both"/>
              <w:rPr>
                <w:rFonts w:ascii="Times New Roman" w:hAnsi="Times New Roman" w:cs="Times New Roman"/>
                <w:sz w:val="20"/>
              </w:rPr>
            </w:pPr>
            <w:r w:rsidRPr="00135D4D">
              <w:rPr>
                <w:rFonts w:ascii="Times New Roman" w:hAnsi="Times New Roman" w:cs="Times New Roman"/>
                <w:sz w:val="20"/>
              </w:rPr>
              <w:t>Ewentualne rozbieżności w zakresie rozumienia pojęcia nie będą negatywnie wpływały na funkcjonalności Portalu i jego użyteczność.</w:t>
            </w:r>
          </w:p>
        </w:tc>
      </w:tr>
      <w:tr w:rsidR="00F85687" w:rsidRPr="00FF4480" w14:paraId="5CE3CD7D" w14:textId="77777777" w:rsidTr="00E9565F">
        <w:trPr>
          <w:jc w:val="center"/>
        </w:trPr>
        <w:tc>
          <w:tcPr>
            <w:tcW w:w="554" w:type="dxa"/>
          </w:tcPr>
          <w:p w14:paraId="10E36333"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E615DAF" w14:textId="06AD57A8" w:rsidR="00F85687" w:rsidRPr="00ED4A2B" w:rsidRDefault="00F85687" w:rsidP="00F85687">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785411AF" w14:textId="43088672" w:rsidR="00F85687" w:rsidRPr="00ED4A2B" w:rsidRDefault="00F85687" w:rsidP="00F85687">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56a ust. 3</w:t>
            </w:r>
          </w:p>
        </w:tc>
        <w:tc>
          <w:tcPr>
            <w:tcW w:w="5670" w:type="dxa"/>
            <w:vAlign w:val="center"/>
          </w:tcPr>
          <w:p w14:paraId="4C376461" w14:textId="0824179B"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Jeśli Portal ma obrazować ceny powinien zawierać określenie miejsca położenia nieruchomości: stolica, miasto, wieś, oczywiście określenie do ustalenia. Położenie w Warszawie albo Wólce ma większy wpływ na cenę niż pierwsze lub drugie piętro. Informacja o adresie problemu nie rozwiązuje, zasadniczo nie jest on udostępniany (art. 56 d ust. 2) i nie daje podstaw do opracowania informacji z art. 56 e.</w:t>
            </w:r>
          </w:p>
        </w:tc>
        <w:tc>
          <w:tcPr>
            <w:tcW w:w="4160" w:type="dxa"/>
          </w:tcPr>
          <w:p w14:paraId="1F10224F" w14:textId="77777777" w:rsidR="00F85687" w:rsidRPr="00245EAB" w:rsidRDefault="00245EAB" w:rsidP="00F85687">
            <w:pPr>
              <w:spacing w:before="120" w:after="120"/>
              <w:jc w:val="both"/>
              <w:rPr>
                <w:rFonts w:ascii="Times New Roman" w:hAnsi="Times New Roman" w:cs="Times New Roman"/>
                <w:b/>
                <w:bCs/>
                <w:sz w:val="20"/>
              </w:rPr>
            </w:pPr>
            <w:r w:rsidRPr="00245EAB">
              <w:rPr>
                <w:rFonts w:ascii="Times New Roman" w:hAnsi="Times New Roman" w:cs="Times New Roman"/>
                <w:b/>
                <w:bCs/>
                <w:sz w:val="20"/>
              </w:rPr>
              <w:t>Uwaga nieuwzględniona</w:t>
            </w:r>
          </w:p>
          <w:p w14:paraId="0412B62F" w14:textId="39FCE925" w:rsidR="00245EAB" w:rsidRPr="008B735E" w:rsidRDefault="002127C5" w:rsidP="00F85687">
            <w:pPr>
              <w:spacing w:before="120" w:after="120"/>
              <w:jc w:val="both"/>
              <w:rPr>
                <w:rFonts w:ascii="Times New Roman" w:hAnsi="Times New Roman" w:cs="Times New Roman"/>
                <w:sz w:val="20"/>
              </w:rPr>
            </w:pPr>
            <w:r>
              <w:rPr>
                <w:rFonts w:ascii="Times New Roman" w:hAnsi="Times New Roman" w:cs="Times New Roman"/>
                <w:sz w:val="20"/>
              </w:rPr>
              <w:t>Funkcjonalności Portalu, zgodnie z projektowanymi przepisami, będą umożliwiały wybór wyników przez pryzmat lokalizacji ustalanej na bazie adresu</w:t>
            </w:r>
            <w:r w:rsidR="00BB5B3B">
              <w:rPr>
                <w:rFonts w:ascii="Times New Roman" w:hAnsi="Times New Roman" w:cs="Times New Roman"/>
                <w:sz w:val="20"/>
              </w:rPr>
              <w:t xml:space="preserve"> (możliwe będzie wybranie np. danej miejscowości, ulicy, a nawet grupy budynków).</w:t>
            </w:r>
          </w:p>
        </w:tc>
      </w:tr>
      <w:tr w:rsidR="00F85687" w:rsidRPr="00FF4480" w14:paraId="000A9341" w14:textId="77777777" w:rsidTr="00E9565F">
        <w:trPr>
          <w:jc w:val="center"/>
        </w:trPr>
        <w:tc>
          <w:tcPr>
            <w:tcW w:w="554" w:type="dxa"/>
          </w:tcPr>
          <w:p w14:paraId="41DFB8E7"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EC55ED1" w14:textId="693F1B77" w:rsidR="00F85687" w:rsidRPr="00ED4A2B" w:rsidRDefault="00F85687" w:rsidP="00F85687">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34D35D28" w14:textId="350D9A2B" w:rsidR="00F85687" w:rsidRPr="00ED4A2B" w:rsidRDefault="00F85687" w:rsidP="00F85687">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56a ust. 3</w:t>
            </w:r>
          </w:p>
        </w:tc>
        <w:tc>
          <w:tcPr>
            <w:tcW w:w="5670" w:type="dxa"/>
            <w:vAlign w:val="center"/>
          </w:tcPr>
          <w:p w14:paraId="2BA98A38" w14:textId="0A1C9CC0" w:rsidR="00F85687" w:rsidRPr="00ED4A2B" w:rsidRDefault="00F85687" w:rsidP="00F85687">
            <w:pPr>
              <w:spacing w:before="120" w:after="120"/>
              <w:jc w:val="both"/>
              <w:rPr>
                <w:rFonts w:ascii="Times New Roman" w:hAnsi="Times New Roman" w:cs="Times New Roman"/>
                <w:sz w:val="20"/>
              </w:rPr>
            </w:pPr>
            <w:r w:rsidRPr="00ED4A2B">
              <w:rPr>
                <w:rFonts w:ascii="Times New Roman" w:hAnsi="Times New Roman" w:cs="Times New Roman"/>
                <w:sz w:val="20"/>
              </w:rPr>
              <w:t>Przy pierwotnym nabyciu spółdzielczego własnościowego prawa do lokalu lub domu nie mamy przeniesienia prawa</w:t>
            </w:r>
            <w:r>
              <w:rPr>
                <w:rFonts w:ascii="Times New Roman" w:hAnsi="Times New Roman" w:cs="Times New Roman"/>
                <w:sz w:val="20"/>
              </w:rPr>
              <w:t>.</w:t>
            </w:r>
          </w:p>
        </w:tc>
        <w:tc>
          <w:tcPr>
            <w:tcW w:w="4160" w:type="dxa"/>
          </w:tcPr>
          <w:p w14:paraId="30DD6CD9" w14:textId="77777777" w:rsidR="00F85687" w:rsidRPr="00245EAB" w:rsidRDefault="00245EAB" w:rsidP="00F85687">
            <w:pPr>
              <w:spacing w:before="120" w:after="120"/>
              <w:jc w:val="both"/>
              <w:rPr>
                <w:rFonts w:ascii="Times New Roman" w:hAnsi="Times New Roman" w:cs="Times New Roman"/>
                <w:sz w:val="20"/>
                <w:u w:val="single"/>
              </w:rPr>
            </w:pPr>
            <w:r w:rsidRPr="00245EAB">
              <w:rPr>
                <w:rFonts w:ascii="Times New Roman" w:hAnsi="Times New Roman" w:cs="Times New Roman"/>
                <w:sz w:val="20"/>
                <w:u w:val="single"/>
              </w:rPr>
              <w:t>Komentarz do uwagi</w:t>
            </w:r>
          </w:p>
          <w:p w14:paraId="22285326" w14:textId="7A93AE27" w:rsidR="00245EAB" w:rsidRPr="008B735E" w:rsidRDefault="00245EAB" w:rsidP="00F85687">
            <w:pPr>
              <w:spacing w:before="120" w:after="120"/>
              <w:jc w:val="both"/>
              <w:rPr>
                <w:rFonts w:ascii="Times New Roman" w:hAnsi="Times New Roman" w:cs="Times New Roman"/>
                <w:sz w:val="20"/>
              </w:rPr>
            </w:pPr>
            <w:r>
              <w:rPr>
                <w:rFonts w:ascii="Times New Roman" w:hAnsi="Times New Roman" w:cs="Times New Roman"/>
                <w:sz w:val="20"/>
              </w:rPr>
              <w:t xml:space="preserve">Uwaga jest </w:t>
            </w:r>
            <w:r w:rsidR="002127C5">
              <w:rPr>
                <w:rFonts w:ascii="Times New Roman" w:hAnsi="Times New Roman" w:cs="Times New Roman"/>
                <w:sz w:val="20"/>
              </w:rPr>
              <w:t>nieczytelna</w:t>
            </w:r>
            <w:r>
              <w:rPr>
                <w:rFonts w:ascii="Times New Roman" w:hAnsi="Times New Roman" w:cs="Times New Roman"/>
                <w:sz w:val="20"/>
              </w:rPr>
              <w:t xml:space="preserve">. </w:t>
            </w:r>
            <w:r w:rsidR="002127C5">
              <w:rPr>
                <w:rFonts w:ascii="Times New Roman" w:hAnsi="Times New Roman" w:cs="Times New Roman"/>
                <w:sz w:val="20"/>
              </w:rPr>
              <w:t>Nabycie pierwotne takiego prawa nie jest objęte zakresem działania Portalu. Ponadto o</w:t>
            </w:r>
            <w:r>
              <w:rPr>
                <w:rFonts w:ascii="Times New Roman" w:hAnsi="Times New Roman" w:cs="Times New Roman"/>
                <w:sz w:val="20"/>
              </w:rPr>
              <w:t>becnie nie ma możliwości ustanowienia spółdzielczego własnościowego prawa do lokalu mieszkalnego.</w:t>
            </w:r>
            <w:r w:rsidR="000005C1">
              <w:rPr>
                <w:rFonts w:ascii="Times New Roman" w:hAnsi="Times New Roman" w:cs="Times New Roman"/>
                <w:sz w:val="20"/>
              </w:rPr>
              <w:t xml:space="preserve"> Obrót </w:t>
            </w:r>
            <w:r w:rsidR="000005C1">
              <w:rPr>
                <w:rFonts w:ascii="Times New Roman" w:hAnsi="Times New Roman" w:cs="Times New Roman"/>
                <w:sz w:val="20"/>
              </w:rPr>
              <w:lastRenderedPageBreak/>
              <w:t xml:space="preserve">spółdzielczym własnościowym prawem do lokalu następuje tylko na rynku wtórnym. </w:t>
            </w:r>
          </w:p>
        </w:tc>
      </w:tr>
      <w:tr w:rsidR="00F85687" w:rsidRPr="00FF4480" w14:paraId="3043CC49" w14:textId="77777777" w:rsidTr="00E9565F">
        <w:trPr>
          <w:jc w:val="center"/>
        </w:trPr>
        <w:tc>
          <w:tcPr>
            <w:tcW w:w="554" w:type="dxa"/>
          </w:tcPr>
          <w:p w14:paraId="200F100A"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CE71623" w14:textId="4F468C02" w:rsidR="00F85687" w:rsidRDefault="00F85687" w:rsidP="00F85687">
            <w:pPr>
              <w:spacing w:before="120" w:after="120"/>
              <w:rPr>
                <w:rFonts w:ascii="Times New Roman" w:hAnsi="Times New Roman" w:cs="Times New Roman"/>
                <w:sz w:val="20"/>
                <w:szCs w:val="20"/>
              </w:rPr>
            </w:pPr>
            <w:r w:rsidRPr="00721C84">
              <w:rPr>
                <w:rFonts w:ascii="Times New Roman" w:hAnsi="Times New Roman" w:cs="Times New Roman"/>
                <w:sz w:val="20"/>
                <w:szCs w:val="20"/>
              </w:rPr>
              <w:t>Stowarzyszenie Notariuszy RP</w:t>
            </w:r>
          </w:p>
        </w:tc>
        <w:tc>
          <w:tcPr>
            <w:tcW w:w="1905" w:type="dxa"/>
            <w:vAlign w:val="center"/>
          </w:tcPr>
          <w:p w14:paraId="484939FF" w14:textId="301FB706" w:rsidR="00F85687" w:rsidRDefault="00F85687" w:rsidP="00F85687">
            <w:pPr>
              <w:spacing w:before="120" w:after="120"/>
              <w:jc w:val="center"/>
              <w:rPr>
                <w:rFonts w:ascii="Times New Roman" w:hAnsi="Times New Roman" w:cs="Times New Roman"/>
                <w:sz w:val="20"/>
                <w:szCs w:val="20"/>
              </w:rPr>
            </w:pPr>
            <w:r w:rsidRPr="007816AF">
              <w:rPr>
                <w:rFonts w:ascii="Times New Roman" w:hAnsi="Times New Roman" w:cs="Times New Roman"/>
                <w:sz w:val="20"/>
                <w:szCs w:val="20"/>
              </w:rPr>
              <w:t xml:space="preserve">Art. </w:t>
            </w:r>
            <w:r>
              <w:rPr>
                <w:rFonts w:ascii="Times New Roman" w:hAnsi="Times New Roman" w:cs="Times New Roman"/>
                <w:sz w:val="20"/>
                <w:szCs w:val="20"/>
              </w:rPr>
              <w:t xml:space="preserve">1 pkt 6 w zakresie art. </w:t>
            </w:r>
            <w:r w:rsidRPr="007816AF">
              <w:rPr>
                <w:rFonts w:ascii="Times New Roman" w:hAnsi="Times New Roman" w:cs="Times New Roman"/>
                <w:sz w:val="20"/>
                <w:szCs w:val="20"/>
              </w:rPr>
              <w:t>56a</w:t>
            </w:r>
            <w:r>
              <w:rPr>
                <w:rFonts w:ascii="Times New Roman" w:hAnsi="Times New Roman" w:cs="Times New Roman"/>
                <w:sz w:val="20"/>
                <w:szCs w:val="20"/>
              </w:rPr>
              <w:t xml:space="preserve"> ust. 3</w:t>
            </w:r>
          </w:p>
        </w:tc>
        <w:tc>
          <w:tcPr>
            <w:tcW w:w="5670" w:type="dxa"/>
            <w:vAlign w:val="center"/>
          </w:tcPr>
          <w:p w14:paraId="3C42BA16" w14:textId="4AF99AED" w:rsidR="00F85687" w:rsidRPr="00D85CE9" w:rsidRDefault="00F85687" w:rsidP="00F85687">
            <w:pPr>
              <w:spacing w:before="120" w:after="120"/>
              <w:jc w:val="both"/>
              <w:rPr>
                <w:rFonts w:ascii="Times New Roman" w:hAnsi="Times New Roman" w:cs="Times New Roman"/>
                <w:sz w:val="20"/>
              </w:rPr>
            </w:pPr>
            <w:r w:rsidRPr="00721C84">
              <w:rPr>
                <w:rFonts w:ascii="Times New Roman" w:hAnsi="Times New Roman" w:cs="Times New Roman"/>
                <w:sz w:val="20"/>
              </w:rPr>
              <w:t>Według Projektu w Portalu DOM ma być m.in. przetwarzany numer PESEL nabywcy (lub szczegółowe dane identyfikujące), pozyskany na podstawie danych uzyskanych z DFG/UFG. Pozyskanie tak wrażliwej danej (która mocniej identyfikuje podmiot niż imię i nazwisko) wydaje się całkowicie sprzeczne z celami portalu wymienionymi w projektowanym art. 56a ust. 2, tj.</w:t>
            </w:r>
            <w:r>
              <w:rPr>
                <w:rFonts w:ascii="Times New Roman" w:hAnsi="Times New Roman" w:cs="Times New Roman"/>
                <w:sz w:val="20"/>
              </w:rPr>
              <w:t xml:space="preserve"> </w:t>
            </w:r>
            <w:r w:rsidRPr="00721C84">
              <w:rPr>
                <w:rFonts w:ascii="Times New Roman" w:hAnsi="Times New Roman" w:cs="Times New Roman"/>
                <w:sz w:val="20"/>
              </w:rPr>
              <w:t>powstania punktu dostępu do informacji o cenach transakcyjnych oraz generowanie danych statystycznych służących prowadzeniu polityki mieszkaniowej. Dane o właścicielach lokali, w tym ich numery PESEL, organy władzy publicznej posiadają już w sposób rozproszony (via księgi wieczyste i dane geodezyjne) natomiast ta nowelizacja wprowadza w sposób poboczny scentralizowaną bazę danych, przy czym jak wyżej wskazano cel przetwarzania aż tak szczegółowych danych o obywatelu nie znajduje uzasadnienia w celu prowadzenia Portalu DOM, szczególnie że dane te powinny zostać zanonimizowane przed dalszym przetwarzaniem (projektowany art. 56d ust. 2). Wymienione w dalszych jednostkach redakcyjnych dane pojawiające się w Portalu DOM podmiot prowadzący może ekstrapolować na potrzeby statystyczne, a następnie niezwłocznie usunąć.</w:t>
            </w:r>
          </w:p>
        </w:tc>
        <w:tc>
          <w:tcPr>
            <w:tcW w:w="4160" w:type="dxa"/>
          </w:tcPr>
          <w:p w14:paraId="16DDF7EC" w14:textId="77777777" w:rsidR="00D94FFF" w:rsidRPr="00245EAB" w:rsidRDefault="00D94FFF" w:rsidP="00D94FFF">
            <w:pPr>
              <w:spacing w:before="120" w:after="120"/>
              <w:jc w:val="both"/>
              <w:rPr>
                <w:rFonts w:ascii="Times New Roman" w:hAnsi="Times New Roman" w:cs="Times New Roman"/>
                <w:sz w:val="20"/>
                <w:u w:val="single"/>
              </w:rPr>
            </w:pPr>
            <w:r w:rsidRPr="00245EAB">
              <w:rPr>
                <w:rFonts w:ascii="Times New Roman" w:hAnsi="Times New Roman" w:cs="Times New Roman"/>
                <w:sz w:val="20"/>
                <w:u w:val="single"/>
              </w:rPr>
              <w:t>Komentarz do uwagi</w:t>
            </w:r>
          </w:p>
          <w:p w14:paraId="3471CB20" w14:textId="77777777" w:rsidR="00F85687" w:rsidRDefault="00E53419" w:rsidP="00F85687">
            <w:pPr>
              <w:spacing w:before="120" w:after="120"/>
              <w:jc w:val="both"/>
              <w:rPr>
                <w:rFonts w:ascii="Times New Roman" w:hAnsi="Times New Roman" w:cs="Times New Roman"/>
                <w:sz w:val="20"/>
              </w:rPr>
            </w:pPr>
            <w:r>
              <w:rPr>
                <w:rFonts w:ascii="Times New Roman" w:hAnsi="Times New Roman" w:cs="Times New Roman"/>
                <w:sz w:val="20"/>
              </w:rPr>
              <w:t>Cele gromadzenia tej kategorii danych zostały szczegółowo omówione w uzasadnieniu do projektu ustawy. W ocenie projektodawcy są one zgodne z celami Portalu. Ponadto, dostęp do tej kategorii danych będzie miał jedynie UFG.</w:t>
            </w:r>
          </w:p>
          <w:p w14:paraId="66E9BEA6" w14:textId="75FE7D07" w:rsidR="00E53419" w:rsidRPr="00E611A9" w:rsidRDefault="00E53419" w:rsidP="00F85687">
            <w:pPr>
              <w:spacing w:before="120" w:after="120"/>
              <w:jc w:val="both"/>
              <w:rPr>
                <w:rFonts w:ascii="Times New Roman" w:hAnsi="Times New Roman" w:cs="Times New Roman"/>
                <w:sz w:val="20"/>
              </w:rPr>
            </w:pPr>
          </w:p>
        </w:tc>
      </w:tr>
      <w:tr w:rsidR="00F85687" w:rsidRPr="00FF4480" w14:paraId="5265A5D5" w14:textId="77777777" w:rsidTr="00E9565F">
        <w:trPr>
          <w:jc w:val="center"/>
        </w:trPr>
        <w:tc>
          <w:tcPr>
            <w:tcW w:w="554" w:type="dxa"/>
          </w:tcPr>
          <w:p w14:paraId="2E46A34C"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6F3792B" w14:textId="1074080A" w:rsidR="00F85687" w:rsidRPr="00721C84" w:rsidRDefault="00F85687" w:rsidP="00F85687">
            <w:pPr>
              <w:spacing w:before="120" w:after="120"/>
              <w:rPr>
                <w:rFonts w:ascii="Times New Roman" w:hAnsi="Times New Roman" w:cs="Times New Roman"/>
                <w:sz w:val="20"/>
                <w:szCs w:val="20"/>
              </w:rPr>
            </w:pPr>
            <w:r w:rsidRPr="00B13CB1">
              <w:rPr>
                <w:rFonts w:ascii="Times New Roman" w:hAnsi="Times New Roman" w:cs="Times New Roman"/>
                <w:sz w:val="20"/>
                <w:szCs w:val="20"/>
              </w:rPr>
              <w:t>Polski Związek Firm Deweloperskich</w:t>
            </w:r>
          </w:p>
        </w:tc>
        <w:tc>
          <w:tcPr>
            <w:tcW w:w="1905" w:type="dxa"/>
            <w:vAlign w:val="center"/>
          </w:tcPr>
          <w:p w14:paraId="257C494E" w14:textId="618E846B" w:rsidR="00F85687" w:rsidRPr="007816AF" w:rsidRDefault="00F85687" w:rsidP="00F85687">
            <w:pPr>
              <w:spacing w:before="120" w:after="120"/>
              <w:jc w:val="center"/>
              <w:rPr>
                <w:rFonts w:ascii="Times New Roman" w:hAnsi="Times New Roman" w:cs="Times New Roman"/>
                <w:sz w:val="20"/>
                <w:szCs w:val="20"/>
              </w:rPr>
            </w:pPr>
            <w:r w:rsidRPr="00B13CB1">
              <w:rPr>
                <w:rFonts w:ascii="Times New Roman" w:hAnsi="Times New Roman" w:cs="Times New Roman"/>
                <w:sz w:val="20"/>
                <w:szCs w:val="20"/>
              </w:rPr>
              <w:t>Art. 1 pkt 6 w zakresie art. 56a ust. 3</w:t>
            </w:r>
          </w:p>
        </w:tc>
        <w:tc>
          <w:tcPr>
            <w:tcW w:w="5670" w:type="dxa"/>
            <w:vAlign w:val="center"/>
          </w:tcPr>
          <w:p w14:paraId="3A94D2F5" w14:textId="77777777" w:rsidR="00F85687" w:rsidRPr="00B13CB1" w:rsidRDefault="00F85687" w:rsidP="00F85687">
            <w:pPr>
              <w:spacing w:before="120" w:after="120"/>
              <w:jc w:val="both"/>
              <w:rPr>
                <w:rFonts w:ascii="Times New Roman" w:hAnsi="Times New Roman" w:cs="Times New Roman"/>
                <w:sz w:val="20"/>
              </w:rPr>
            </w:pPr>
            <w:r w:rsidRPr="00B13CB1">
              <w:rPr>
                <w:rFonts w:ascii="Times New Roman" w:hAnsi="Times New Roman" w:cs="Times New Roman"/>
                <w:sz w:val="20"/>
              </w:rPr>
              <w:t>W odniesieniu do projektu ustawy wątpliwości budzi przepis art. 56a ust. 5 pkt 2), który przewiduje, że deweloperzy będą zobowiązani do przekazywania danych dotyczących umów sprzedaży nieruchomości, o których mowa w art. 3 i 4 ustawy deweloperskiej. Takie rozwiązanie budzi poważne zastrzeżenia zarówno pod względem organizacyjnym, jak i prawnym, zwłaszcza w kontekście dotychczasowego funkcjonowania systemu Deweloperskiego Funduszu Gwarancyjnego (DFG).</w:t>
            </w:r>
          </w:p>
          <w:p w14:paraId="7A6DD30C" w14:textId="77777777" w:rsidR="00F85687" w:rsidRPr="00B13CB1" w:rsidRDefault="00F85687" w:rsidP="00F85687">
            <w:pPr>
              <w:spacing w:before="120" w:after="120"/>
              <w:jc w:val="both"/>
              <w:rPr>
                <w:rFonts w:ascii="Times New Roman" w:hAnsi="Times New Roman" w:cs="Times New Roman"/>
                <w:sz w:val="20"/>
              </w:rPr>
            </w:pPr>
            <w:r w:rsidRPr="00B13CB1">
              <w:rPr>
                <w:rFonts w:ascii="Times New Roman" w:hAnsi="Times New Roman" w:cs="Times New Roman"/>
                <w:sz w:val="20"/>
              </w:rPr>
              <w:t xml:space="preserve">W obecnym systemie Deweloperskiego Funduszu Gwarancyjnego, deweloperzy są zobowiązani do przekazywania danych dotyczących umów deweloperskich, a nie umów sprzedaży nieruchomości. Umowy deweloperskie, które są zawierane na podstawie art. 2 ustawy deweloperskiej, dotyczą przede wszystkim zobowiązań do wybudowania i przeniesienia własności nieruchomości w </w:t>
            </w:r>
            <w:r w:rsidRPr="00B13CB1">
              <w:rPr>
                <w:rFonts w:ascii="Times New Roman" w:hAnsi="Times New Roman" w:cs="Times New Roman"/>
                <w:sz w:val="20"/>
              </w:rPr>
              <w:lastRenderedPageBreak/>
              <w:t>przyszłości, podczas gdy umowy sprzedaży, o których mowa w art. 3 i 4 ustawy, dotyczą finalnego przeniesienia własności na nabywcę.</w:t>
            </w:r>
          </w:p>
          <w:p w14:paraId="62466F97" w14:textId="77777777" w:rsidR="00F85687" w:rsidRPr="00B13CB1" w:rsidRDefault="00F85687" w:rsidP="00F85687">
            <w:pPr>
              <w:spacing w:before="120" w:after="120"/>
              <w:jc w:val="both"/>
              <w:rPr>
                <w:rFonts w:ascii="Times New Roman" w:hAnsi="Times New Roman" w:cs="Times New Roman"/>
                <w:sz w:val="20"/>
              </w:rPr>
            </w:pPr>
            <w:r w:rsidRPr="00B13CB1">
              <w:rPr>
                <w:rFonts w:ascii="Times New Roman" w:hAnsi="Times New Roman" w:cs="Times New Roman"/>
                <w:sz w:val="20"/>
              </w:rPr>
              <w:t xml:space="preserve">Wprowadzenie obowiązku przekazywania danych o umowach sprzedaży przez deweloperów rozszerza zakres ich obowiązków, co stanowi poważne obciążenie administracyjne, nieprzewidziane w dotychczasowym systemie. </w:t>
            </w:r>
          </w:p>
          <w:p w14:paraId="4333D3FD" w14:textId="77777777" w:rsidR="00F85687" w:rsidRPr="00B13CB1" w:rsidRDefault="00F85687" w:rsidP="00F85687">
            <w:pPr>
              <w:spacing w:before="120" w:after="120"/>
              <w:jc w:val="both"/>
              <w:rPr>
                <w:rFonts w:ascii="Times New Roman" w:hAnsi="Times New Roman" w:cs="Times New Roman"/>
                <w:sz w:val="20"/>
              </w:rPr>
            </w:pPr>
            <w:r w:rsidRPr="00B13CB1">
              <w:rPr>
                <w:rFonts w:ascii="Times New Roman" w:hAnsi="Times New Roman" w:cs="Times New Roman"/>
                <w:sz w:val="20"/>
              </w:rPr>
              <w:t>Notariusze, jako osoby odpowiedzialne za sporządzanie aktów notarialnych w związku z każdą transakcją sprzedaży nieruchomości, są w naturalny sposób zaangażowani w proces dokumentowania sprzedaży. Dysponują pełnymi i precyzyjnymi danymi dotyczącymi każdej transakcji, stąd warto może rozważyć, czy oni nie powinni przekazywać danych odnośnie umów z art. 3 i 4.</w:t>
            </w:r>
          </w:p>
          <w:p w14:paraId="2C14F148" w14:textId="36586C79" w:rsidR="00F85687" w:rsidRPr="00721C84" w:rsidRDefault="00F85687" w:rsidP="00F85687">
            <w:pPr>
              <w:spacing w:before="120" w:after="120"/>
              <w:jc w:val="both"/>
              <w:rPr>
                <w:rFonts w:ascii="Times New Roman" w:hAnsi="Times New Roman" w:cs="Times New Roman"/>
                <w:sz w:val="20"/>
              </w:rPr>
            </w:pPr>
            <w:r w:rsidRPr="00B13CB1">
              <w:rPr>
                <w:rFonts w:ascii="Times New Roman" w:hAnsi="Times New Roman" w:cs="Times New Roman"/>
                <w:sz w:val="20"/>
              </w:rPr>
              <w:t>Notariusze, zgodnie z przepisami dotyczącymi prawa o notariacie, już obecnie mają obowiązek przekazywania określonych danych do Krajowej Administracji Skarbowej (KAS) oraz innych organów państwowych w związku z realizacją swoich obowiązków zawodowych. Przekazywanie tych samych danych do Portalu DOM przez notariuszy zamiast deweloperów nie stanowiłoby dla nich nowego obowiązku, lecz rozszerzenie już istniejących praktyk sprawozdawczych. Notariusze mają również dostęp do aktów notarialnych w momencie ich sporządzania, co zapewnia szybką i dokładną wymianę informacji z systemami teleinformatycznymi.</w:t>
            </w:r>
          </w:p>
        </w:tc>
        <w:tc>
          <w:tcPr>
            <w:tcW w:w="4160" w:type="dxa"/>
          </w:tcPr>
          <w:p w14:paraId="4A60B9E3" w14:textId="77777777" w:rsidR="00E53419" w:rsidRPr="00245EAB" w:rsidRDefault="00E53419" w:rsidP="00E53419">
            <w:pPr>
              <w:spacing w:before="120" w:after="120"/>
              <w:jc w:val="both"/>
              <w:rPr>
                <w:rFonts w:ascii="Times New Roman" w:hAnsi="Times New Roman" w:cs="Times New Roman"/>
                <w:sz w:val="20"/>
                <w:u w:val="single"/>
              </w:rPr>
            </w:pPr>
            <w:r w:rsidRPr="00245EAB">
              <w:rPr>
                <w:rFonts w:ascii="Times New Roman" w:hAnsi="Times New Roman" w:cs="Times New Roman"/>
                <w:sz w:val="20"/>
                <w:u w:val="single"/>
              </w:rPr>
              <w:lastRenderedPageBreak/>
              <w:t>Komentarz do uwagi</w:t>
            </w:r>
          </w:p>
          <w:p w14:paraId="29F9B209" w14:textId="6101782E" w:rsidR="00F85687" w:rsidRPr="009238D7" w:rsidRDefault="00EE0BDA" w:rsidP="00F85687">
            <w:pPr>
              <w:spacing w:before="120" w:after="120"/>
              <w:jc w:val="both"/>
              <w:rPr>
                <w:rFonts w:ascii="Times New Roman" w:hAnsi="Times New Roman" w:cs="Times New Roman"/>
                <w:sz w:val="20"/>
              </w:rPr>
            </w:pPr>
            <w:r>
              <w:rPr>
                <w:rFonts w:ascii="Times New Roman" w:hAnsi="Times New Roman" w:cs="Times New Roman"/>
                <w:sz w:val="20"/>
              </w:rPr>
              <w:t>Zwiększenie</w:t>
            </w:r>
            <w:r w:rsidRPr="00EE0BDA">
              <w:rPr>
                <w:rFonts w:ascii="Times New Roman" w:hAnsi="Times New Roman" w:cs="Times New Roman"/>
                <w:sz w:val="20"/>
              </w:rPr>
              <w:t xml:space="preserve"> liczb</w:t>
            </w:r>
            <w:r>
              <w:rPr>
                <w:rFonts w:ascii="Times New Roman" w:hAnsi="Times New Roman" w:cs="Times New Roman"/>
                <w:sz w:val="20"/>
              </w:rPr>
              <w:t>y</w:t>
            </w:r>
            <w:r w:rsidRPr="00EE0BDA">
              <w:rPr>
                <w:rFonts w:ascii="Times New Roman" w:hAnsi="Times New Roman" w:cs="Times New Roman"/>
                <w:sz w:val="20"/>
              </w:rPr>
              <w:t xml:space="preserve"> podmiotów profesjonalnych obowiązanych do zgłaszania danych i informacji Ubezpieczeniowemu Funduszowi Gwarancyjnemu </w:t>
            </w:r>
            <w:r>
              <w:rPr>
                <w:rFonts w:ascii="Times New Roman" w:hAnsi="Times New Roman" w:cs="Times New Roman"/>
                <w:sz w:val="20"/>
              </w:rPr>
              <w:t>jest motywowane celami Portalu DOM. Znajduje również uzasadnienie w obowiązującym systemie ustawy deweloperskiej, która reguluje również kwestie związane z umowa</w:t>
            </w:r>
            <w:r w:rsidR="00CA3449">
              <w:rPr>
                <w:rFonts w:ascii="Times New Roman" w:hAnsi="Times New Roman" w:cs="Times New Roman"/>
                <w:sz w:val="20"/>
              </w:rPr>
              <w:t>mi</w:t>
            </w:r>
            <w:r>
              <w:rPr>
                <w:rFonts w:ascii="Times New Roman" w:hAnsi="Times New Roman" w:cs="Times New Roman"/>
                <w:sz w:val="20"/>
              </w:rPr>
              <w:t xml:space="preserve"> nieobjętymi obowiązkiem zgłoszenia do Ewidencji Deweloperskiego Funduszu Gwarancyjnego. Obciążenia informacyjne będą jednak niwelowane przez możliwość korzystania </w:t>
            </w:r>
            <w:r w:rsidRPr="00EE0BDA">
              <w:rPr>
                <w:rFonts w:ascii="Times New Roman" w:hAnsi="Times New Roman" w:cs="Times New Roman"/>
                <w:sz w:val="20"/>
              </w:rPr>
              <w:t xml:space="preserve">przez podmioty </w:t>
            </w:r>
            <w:r w:rsidRPr="00EE0BDA">
              <w:rPr>
                <w:rFonts w:ascii="Times New Roman" w:hAnsi="Times New Roman" w:cs="Times New Roman"/>
                <w:sz w:val="20"/>
              </w:rPr>
              <w:lastRenderedPageBreak/>
              <w:t xml:space="preserve">profesjonalne </w:t>
            </w:r>
            <w:r>
              <w:rPr>
                <w:rFonts w:ascii="Times New Roman" w:hAnsi="Times New Roman" w:cs="Times New Roman"/>
                <w:sz w:val="20"/>
              </w:rPr>
              <w:t xml:space="preserve">z informacji statystycznych </w:t>
            </w:r>
            <w:r w:rsidRPr="009238D7">
              <w:rPr>
                <w:rFonts w:ascii="Times New Roman" w:hAnsi="Times New Roman" w:cs="Times New Roman"/>
                <w:sz w:val="20"/>
              </w:rPr>
              <w:t>generowanych w Portalu</w:t>
            </w:r>
            <w:r w:rsidR="00905E7D" w:rsidRPr="009238D7">
              <w:rPr>
                <w:rFonts w:ascii="Times New Roman" w:hAnsi="Times New Roman" w:cs="Times New Roman"/>
                <w:sz w:val="20"/>
              </w:rPr>
              <w:t>.</w:t>
            </w:r>
          </w:p>
          <w:p w14:paraId="3A79169F" w14:textId="1BA0CA46" w:rsidR="00EE0BDA" w:rsidRPr="008B735E" w:rsidRDefault="00905E7D" w:rsidP="00F85687">
            <w:pPr>
              <w:spacing w:before="120" w:after="120"/>
              <w:jc w:val="both"/>
              <w:rPr>
                <w:rFonts w:ascii="Times New Roman" w:hAnsi="Times New Roman" w:cs="Times New Roman"/>
                <w:sz w:val="20"/>
              </w:rPr>
            </w:pPr>
            <w:r w:rsidRPr="009238D7">
              <w:rPr>
                <w:rFonts w:ascii="Times New Roman" w:hAnsi="Times New Roman" w:cs="Times New Roman"/>
                <w:sz w:val="20"/>
              </w:rPr>
              <w:t>Notariusze będą pełnili podstawową rolę w</w:t>
            </w:r>
            <w:r w:rsidR="009238D7">
              <w:rPr>
                <w:rFonts w:ascii="Times New Roman" w:hAnsi="Times New Roman" w:cs="Times New Roman"/>
                <w:sz w:val="20"/>
              </w:rPr>
              <w:t> </w:t>
            </w:r>
            <w:r w:rsidRPr="009238D7">
              <w:rPr>
                <w:rFonts w:ascii="Times New Roman" w:hAnsi="Times New Roman" w:cs="Times New Roman"/>
                <w:sz w:val="20"/>
              </w:rPr>
              <w:t xml:space="preserve">dostarczaniu </w:t>
            </w:r>
            <w:r w:rsidR="009238D7" w:rsidRPr="009238D7">
              <w:rPr>
                <w:rFonts w:ascii="Times New Roman" w:hAnsi="Times New Roman" w:cs="Times New Roman"/>
                <w:sz w:val="20"/>
              </w:rPr>
              <w:t xml:space="preserve">do Portalu </w:t>
            </w:r>
            <w:r w:rsidRPr="009238D7">
              <w:rPr>
                <w:rFonts w:ascii="Times New Roman" w:hAnsi="Times New Roman" w:cs="Times New Roman"/>
                <w:sz w:val="20"/>
              </w:rPr>
              <w:t xml:space="preserve">danych </w:t>
            </w:r>
            <w:r w:rsidR="009238D7">
              <w:rPr>
                <w:rFonts w:ascii="Times New Roman" w:hAnsi="Times New Roman" w:cs="Times New Roman"/>
                <w:sz w:val="20"/>
              </w:rPr>
              <w:t xml:space="preserve">i informacji </w:t>
            </w:r>
            <w:r w:rsidRPr="009238D7">
              <w:rPr>
                <w:rFonts w:ascii="Times New Roman" w:hAnsi="Times New Roman" w:cs="Times New Roman"/>
                <w:sz w:val="20"/>
              </w:rPr>
              <w:t>dotyczących rynku wtórnego (za pośrednictwem KAS).</w:t>
            </w:r>
          </w:p>
        </w:tc>
      </w:tr>
      <w:tr w:rsidR="00F85687" w:rsidRPr="00FF4480" w14:paraId="5695242E" w14:textId="77777777" w:rsidTr="00E9565F">
        <w:trPr>
          <w:jc w:val="center"/>
        </w:trPr>
        <w:tc>
          <w:tcPr>
            <w:tcW w:w="554" w:type="dxa"/>
          </w:tcPr>
          <w:p w14:paraId="039659CD"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9FFBFC0" w14:textId="18BEFFB6" w:rsidR="00F85687" w:rsidRPr="007816AF" w:rsidRDefault="00F85687" w:rsidP="00F85687">
            <w:pPr>
              <w:spacing w:before="120" w:after="120"/>
              <w:rPr>
                <w:rFonts w:ascii="Times New Roman" w:hAnsi="Times New Roman" w:cs="Times New Roman"/>
                <w:sz w:val="20"/>
                <w:szCs w:val="20"/>
              </w:rPr>
            </w:pPr>
            <w:r w:rsidRPr="007816AF">
              <w:rPr>
                <w:rFonts w:ascii="Times New Roman" w:hAnsi="Times New Roman" w:cs="Times New Roman"/>
                <w:sz w:val="20"/>
                <w:szCs w:val="20"/>
              </w:rPr>
              <w:t>Polskie Stowarzyszenie Budownictwa Ekologicznego</w:t>
            </w:r>
          </w:p>
        </w:tc>
        <w:tc>
          <w:tcPr>
            <w:tcW w:w="1905" w:type="dxa"/>
            <w:vAlign w:val="center"/>
          </w:tcPr>
          <w:p w14:paraId="236BFE05" w14:textId="64DF2315" w:rsidR="00F85687" w:rsidRPr="007816AF" w:rsidRDefault="00F85687" w:rsidP="00F85687">
            <w:pPr>
              <w:spacing w:before="120" w:after="120"/>
              <w:jc w:val="center"/>
              <w:rPr>
                <w:rFonts w:ascii="Times New Roman" w:hAnsi="Times New Roman" w:cs="Times New Roman"/>
                <w:sz w:val="20"/>
                <w:szCs w:val="20"/>
              </w:rPr>
            </w:pPr>
            <w:r w:rsidRPr="007816AF">
              <w:rPr>
                <w:rFonts w:ascii="Times New Roman" w:hAnsi="Times New Roman" w:cs="Times New Roman"/>
                <w:sz w:val="20"/>
                <w:szCs w:val="20"/>
              </w:rPr>
              <w:t xml:space="preserve">Art. </w:t>
            </w:r>
            <w:r>
              <w:rPr>
                <w:rFonts w:ascii="Times New Roman" w:hAnsi="Times New Roman" w:cs="Times New Roman"/>
                <w:sz w:val="20"/>
                <w:szCs w:val="20"/>
              </w:rPr>
              <w:t xml:space="preserve">1 pkt 6 w zakresie art. </w:t>
            </w:r>
            <w:r w:rsidRPr="007816AF">
              <w:rPr>
                <w:rFonts w:ascii="Times New Roman" w:hAnsi="Times New Roman" w:cs="Times New Roman"/>
                <w:sz w:val="20"/>
                <w:szCs w:val="20"/>
              </w:rPr>
              <w:t>56a</w:t>
            </w:r>
            <w:r>
              <w:rPr>
                <w:rFonts w:ascii="Times New Roman" w:hAnsi="Times New Roman" w:cs="Times New Roman"/>
                <w:sz w:val="20"/>
                <w:szCs w:val="20"/>
              </w:rPr>
              <w:t xml:space="preserve"> ust. 3</w:t>
            </w:r>
          </w:p>
        </w:tc>
        <w:tc>
          <w:tcPr>
            <w:tcW w:w="5670" w:type="dxa"/>
            <w:vAlign w:val="center"/>
          </w:tcPr>
          <w:p w14:paraId="3EFE92B9" w14:textId="00FE7D67" w:rsidR="00F85687" w:rsidRPr="007816AF" w:rsidRDefault="00F85687" w:rsidP="00F85687">
            <w:pPr>
              <w:jc w:val="both"/>
              <w:rPr>
                <w:rFonts w:ascii="Times New Roman" w:hAnsi="Times New Roman" w:cs="Times New Roman"/>
                <w:sz w:val="20"/>
                <w:szCs w:val="20"/>
              </w:rPr>
            </w:pPr>
            <w:r w:rsidRPr="007816AF">
              <w:rPr>
                <w:rFonts w:ascii="Times New Roman" w:hAnsi="Times New Roman" w:cs="Times New Roman"/>
                <w:sz w:val="20"/>
                <w:szCs w:val="20"/>
              </w:rPr>
              <w:t>Stoimy na stanowisku, że oprócz wymienionych danych gromadzonych i</w:t>
            </w:r>
            <w:r>
              <w:rPr>
                <w:rFonts w:ascii="Times New Roman" w:hAnsi="Times New Roman" w:cs="Times New Roman"/>
                <w:sz w:val="20"/>
                <w:szCs w:val="20"/>
              </w:rPr>
              <w:t> </w:t>
            </w:r>
            <w:r w:rsidRPr="007816AF">
              <w:rPr>
                <w:rFonts w:ascii="Times New Roman" w:hAnsi="Times New Roman" w:cs="Times New Roman"/>
                <w:sz w:val="20"/>
                <w:szCs w:val="20"/>
              </w:rPr>
              <w:t>przetwarzanych w ramach prowadzenia Portalu DOM, należy udostępnić informację z rejestru świadectw charakterystyki energetycznej budynków w</w:t>
            </w:r>
            <w:r>
              <w:rPr>
                <w:rFonts w:ascii="Times New Roman" w:hAnsi="Times New Roman" w:cs="Times New Roman"/>
                <w:sz w:val="20"/>
                <w:szCs w:val="20"/>
              </w:rPr>
              <w:t> </w:t>
            </w:r>
            <w:r w:rsidRPr="007816AF">
              <w:rPr>
                <w:rFonts w:ascii="Times New Roman" w:hAnsi="Times New Roman" w:cs="Times New Roman"/>
                <w:sz w:val="20"/>
                <w:szCs w:val="20"/>
              </w:rPr>
              <w:t>postaci EP, EK, EU, udział OZE, emisja CO</w:t>
            </w:r>
            <w:r w:rsidRPr="007816AF">
              <w:rPr>
                <w:rFonts w:ascii="Times New Roman" w:hAnsi="Times New Roman" w:cs="Times New Roman"/>
                <w:sz w:val="20"/>
                <w:szCs w:val="20"/>
                <w:vertAlign w:val="subscript"/>
              </w:rPr>
              <w:t>2</w:t>
            </w:r>
            <w:r w:rsidRPr="007816AF">
              <w:rPr>
                <w:rFonts w:ascii="Times New Roman" w:hAnsi="Times New Roman" w:cs="Times New Roman"/>
                <w:sz w:val="20"/>
                <w:szCs w:val="20"/>
              </w:rPr>
              <w:t xml:space="preserve">. Dane te są dostępne w </w:t>
            </w:r>
            <w:hyperlink r:id="rId8" w:history="1">
              <w:r w:rsidRPr="007816AF">
                <w:rPr>
                  <w:rStyle w:val="Hipercze"/>
                  <w:rFonts w:ascii="Times New Roman" w:hAnsi="Times New Roman" w:cs="Times New Roman"/>
                  <w:sz w:val="20"/>
                  <w:szCs w:val="20"/>
                </w:rPr>
                <w:t>Centralnym rejestrze charakterystyki energetycznej budynków</w:t>
              </w:r>
            </w:hyperlink>
            <w:r w:rsidRPr="007816AF">
              <w:rPr>
                <w:rFonts w:ascii="Times New Roman" w:hAnsi="Times New Roman" w:cs="Times New Roman"/>
                <w:sz w:val="20"/>
                <w:szCs w:val="20"/>
              </w:rPr>
              <w:t>, więc dołączenie ich powinno być wykonalne.</w:t>
            </w:r>
          </w:p>
          <w:p w14:paraId="6B9FBEC7" w14:textId="77777777" w:rsidR="00F85687" w:rsidRPr="007816AF" w:rsidRDefault="00F85687" w:rsidP="00F85687">
            <w:pPr>
              <w:jc w:val="both"/>
              <w:rPr>
                <w:rFonts w:ascii="Times New Roman" w:hAnsi="Times New Roman" w:cs="Times New Roman"/>
                <w:sz w:val="20"/>
                <w:szCs w:val="20"/>
              </w:rPr>
            </w:pPr>
          </w:p>
          <w:p w14:paraId="12C5A3B6" w14:textId="0C115E73" w:rsidR="00F85687" w:rsidRPr="007816AF" w:rsidRDefault="00F85687" w:rsidP="00F85687">
            <w:pPr>
              <w:jc w:val="both"/>
              <w:rPr>
                <w:rFonts w:ascii="Times New Roman" w:hAnsi="Times New Roman" w:cs="Times New Roman"/>
                <w:sz w:val="20"/>
                <w:szCs w:val="20"/>
              </w:rPr>
            </w:pPr>
            <w:r w:rsidRPr="007816AF">
              <w:rPr>
                <w:rFonts w:ascii="Times New Roman" w:hAnsi="Times New Roman" w:cs="Times New Roman"/>
                <w:sz w:val="20"/>
                <w:szCs w:val="20"/>
              </w:rPr>
              <w:t>Dane te pozwolą na świadome podejmowanie decyzji w ramach kupna i wynajmu nieruchomości o znanej efektywności energetycznej i może wpłynąć na</w:t>
            </w:r>
            <w:r>
              <w:rPr>
                <w:rFonts w:ascii="Times New Roman" w:hAnsi="Times New Roman" w:cs="Times New Roman"/>
                <w:sz w:val="20"/>
                <w:szCs w:val="20"/>
              </w:rPr>
              <w:t> </w:t>
            </w:r>
            <w:r w:rsidRPr="007816AF">
              <w:rPr>
                <w:rFonts w:ascii="Times New Roman" w:hAnsi="Times New Roman" w:cs="Times New Roman"/>
                <w:sz w:val="20"/>
                <w:szCs w:val="20"/>
              </w:rPr>
              <w:t>weryfikację ceny.</w:t>
            </w:r>
          </w:p>
          <w:p w14:paraId="05671F14" w14:textId="77777777" w:rsidR="00F85687" w:rsidRPr="007816AF" w:rsidRDefault="00F85687" w:rsidP="00F85687">
            <w:pPr>
              <w:jc w:val="both"/>
              <w:rPr>
                <w:rFonts w:ascii="Times New Roman" w:hAnsi="Times New Roman" w:cs="Times New Roman"/>
                <w:sz w:val="20"/>
                <w:szCs w:val="20"/>
              </w:rPr>
            </w:pPr>
          </w:p>
          <w:p w14:paraId="43263BAF" w14:textId="32C5117E" w:rsidR="00F85687" w:rsidRPr="007816AF" w:rsidRDefault="00F85687" w:rsidP="00F85687">
            <w:pPr>
              <w:jc w:val="both"/>
              <w:rPr>
                <w:rFonts w:ascii="Times New Roman" w:hAnsi="Times New Roman" w:cs="Times New Roman"/>
                <w:sz w:val="20"/>
                <w:szCs w:val="20"/>
              </w:rPr>
            </w:pPr>
            <w:r w:rsidRPr="007816AF">
              <w:rPr>
                <w:rFonts w:ascii="Times New Roman" w:hAnsi="Times New Roman" w:cs="Times New Roman"/>
                <w:sz w:val="20"/>
                <w:szCs w:val="20"/>
              </w:rPr>
              <w:t xml:space="preserve">Obecnie w Ustawie o charakterystyce energetycznej budynków Dz.U.2024.0.101 - Ustawa z dnia 29 sierpnia 2014 r. </w:t>
            </w:r>
            <w:r w:rsidRPr="007816AF">
              <w:rPr>
                <w:rFonts w:ascii="Times New Roman" w:hAnsi="Times New Roman" w:cs="Times New Roman"/>
                <w:sz w:val="20"/>
                <w:szCs w:val="20"/>
              </w:rPr>
              <w:lastRenderedPageBreak/>
              <w:t>o</w:t>
            </w:r>
            <w:r>
              <w:rPr>
                <w:rFonts w:ascii="Times New Roman" w:hAnsi="Times New Roman" w:cs="Times New Roman"/>
                <w:sz w:val="20"/>
                <w:szCs w:val="20"/>
              </w:rPr>
              <w:t> </w:t>
            </w:r>
            <w:r w:rsidRPr="007816AF">
              <w:rPr>
                <w:rFonts w:ascii="Times New Roman" w:hAnsi="Times New Roman" w:cs="Times New Roman"/>
                <w:sz w:val="20"/>
                <w:szCs w:val="20"/>
              </w:rPr>
              <w:t>charakterystyce energetycznej budynków, w</w:t>
            </w:r>
            <w:r>
              <w:rPr>
                <w:rFonts w:ascii="Times New Roman" w:hAnsi="Times New Roman" w:cs="Times New Roman"/>
                <w:sz w:val="20"/>
                <w:szCs w:val="20"/>
              </w:rPr>
              <w:t> </w:t>
            </w:r>
            <w:r w:rsidRPr="007816AF">
              <w:rPr>
                <w:rFonts w:ascii="Times New Roman" w:hAnsi="Times New Roman" w:cs="Times New Roman"/>
                <w:sz w:val="20"/>
                <w:szCs w:val="20"/>
              </w:rPr>
              <w:t>Art. 13. znajduje się zapis o obowiązku podania w ogłoszeniu o</w:t>
            </w:r>
            <w:r>
              <w:rPr>
                <w:rFonts w:ascii="Times New Roman" w:hAnsi="Times New Roman" w:cs="Times New Roman"/>
                <w:sz w:val="20"/>
                <w:szCs w:val="20"/>
              </w:rPr>
              <w:t> </w:t>
            </w:r>
            <w:r w:rsidRPr="007816AF">
              <w:rPr>
                <w:rFonts w:ascii="Times New Roman" w:hAnsi="Times New Roman" w:cs="Times New Roman"/>
                <w:sz w:val="20"/>
                <w:szCs w:val="20"/>
              </w:rPr>
              <w:t>sprzedaży/wynajmie, wskaźnika rocznego zapotrzebowania na energię, ale tylko w</w:t>
            </w:r>
            <w:r>
              <w:rPr>
                <w:rFonts w:ascii="Times New Roman" w:hAnsi="Times New Roman" w:cs="Times New Roman"/>
                <w:sz w:val="20"/>
                <w:szCs w:val="20"/>
              </w:rPr>
              <w:t> </w:t>
            </w:r>
            <w:r w:rsidRPr="007816AF">
              <w:rPr>
                <w:rFonts w:ascii="Times New Roman" w:hAnsi="Times New Roman" w:cs="Times New Roman"/>
                <w:sz w:val="20"/>
                <w:szCs w:val="20"/>
              </w:rPr>
              <w:t>przypadku kiedy świadectwo takie jest już sporządzone. W</w:t>
            </w:r>
            <w:r>
              <w:rPr>
                <w:rFonts w:ascii="Times New Roman" w:hAnsi="Times New Roman" w:cs="Times New Roman"/>
                <w:sz w:val="20"/>
                <w:szCs w:val="20"/>
              </w:rPr>
              <w:t> </w:t>
            </w:r>
            <w:r w:rsidRPr="007816AF">
              <w:rPr>
                <w:rFonts w:ascii="Times New Roman" w:hAnsi="Times New Roman" w:cs="Times New Roman"/>
                <w:sz w:val="20"/>
                <w:szCs w:val="20"/>
              </w:rPr>
              <w:t>praktyce jest ono najczęściej sporządzane w przeddzień transakcji kupna i sprzedaży, co ewidentnie nie wpływa na posiadanie przez kupującego wiedzy o poziomie efektywności energetycznej mieszkania.</w:t>
            </w:r>
          </w:p>
          <w:p w14:paraId="2CCC75C0" w14:textId="16087A4D" w:rsidR="00F85687" w:rsidRPr="007816AF" w:rsidRDefault="00F85687" w:rsidP="00F85687">
            <w:pPr>
              <w:jc w:val="both"/>
              <w:rPr>
                <w:rFonts w:ascii="Times New Roman" w:hAnsi="Times New Roman" w:cs="Times New Roman"/>
                <w:i/>
                <w:iCs/>
                <w:sz w:val="20"/>
                <w:szCs w:val="20"/>
              </w:rPr>
            </w:pPr>
            <w:r w:rsidRPr="007816AF">
              <w:rPr>
                <w:rFonts w:ascii="Times New Roman" w:hAnsi="Times New Roman" w:cs="Times New Roman"/>
                <w:i/>
                <w:iCs/>
                <w:sz w:val="20"/>
                <w:szCs w:val="20"/>
              </w:rPr>
              <w:t>Art. 13. W przypadku gdy dla budynku lub części budynku zostało sporządzone świadectwo charakterystyki energetycznej, właściciel lub zarządca tego budynku lub tej części budynku, osoba, której przysługuje spółdzielcze własnościowe prawo do lokalu, albo podmiot działający na ich zlecenie podają w</w:t>
            </w:r>
            <w:r>
              <w:rPr>
                <w:rFonts w:ascii="Times New Roman" w:hAnsi="Times New Roman" w:cs="Times New Roman"/>
                <w:i/>
                <w:iCs/>
                <w:sz w:val="20"/>
                <w:szCs w:val="20"/>
              </w:rPr>
              <w:t> </w:t>
            </w:r>
            <w:r w:rsidRPr="007816AF">
              <w:rPr>
                <w:rFonts w:ascii="Times New Roman" w:hAnsi="Times New Roman" w:cs="Times New Roman"/>
                <w:i/>
                <w:iCs/>
                <w:sz w:val="20"/>
                <w:szCs w:val="20"/>
              </w:rPr>
              <w:t>ogłoszeniu lub reklamie dotyczących zbycia lub najmu budynku lub jego części wskaźniki rocznego zapotrzebowania na energię użytkową, energię końcową i</w:t>
            </w:r>
            <w:r>
              <w:rPr>
                <w:rFonts w:ascii="Times New Roman" w:hAnsi="Times New Roman" w:cs="Times New Roman"/>
                <w:i/>
                <w:iCs/>
                <w:sz w:val="20"/>
                <w:szCs w:val="20"/>
              </w:rPr>
              <w:t> </w:t>
            </w:r>
            <w:r w:rsidRPr="007816AF">
              <w:rPr>
                <w:rFonts w:ascii="Times New Roman" w:hAnsi="Times New Roman" w:cs="Times New Roman"/>
                <w:i/>
                <w:iCs/>
                <w:sz w:val="20"/>
                <w:szCs w:val="20"/>
              </w:rPr>
              <w:t>nieodnawialną energię pierwotną, udział odnawialnych źródeł energii w rocznym zapotrzebowaniu na energię końcową oraz jednostkową wielkość emisji CO</w:t>
            </w:r>
            <w:r w:rsidRPr="007816AF">
              <w:rPr>
                <w:rFonts w:ascii="Times New Roman" w:hAnsi="Times New Roman" w:cs="Times New Roman"/>
                <w:i/>
                <w:iCs/>
                <w:sz w:val="20"/>
                <w:szCs w:val="20"/>
                <w:vertAlign w:val="subscript"/>
              </w:rPr>
              <w:t>2</w:t>
            </w:r>
            <w:r w:rsidRPr="007816AF">
              <w:rPr>
                <w:rFonts w:ascii="Times New Roman" w:hAnsi="Times New Roman" w:cs="Times New Roman"/>
                <w:i/>
                <w:iCs/>
                <w:sz w:val="20"/>
                <w:szCs w:val="20"/>
              </w:rPr>
              <w:t>, wyznaczone zgodnie z przepisami wydanymi na podstawie art. 15 rozporządzenie w</w:t>
            </w:r>
            <w:r>
              <w:rPr>
                <w:rFonts w:ascii="Times New Roman" w:hAnsi="Times New Roman" w:cs="Times New Roman"/>
                <w:i/>
                <w:iCs/>
                <w:sz w:val="20"/>
                <w:szCs w:val="20"/>
              </w:rPr>
              <w:t> </w:t>
            </w:r>
            <w:r w:rsidRPr="007816AF">
              <w:rPr>
                <w:rFonts w:ascii="Times New Roman" w:hAnsi="Times New Roman" w:cs="Times New Roman"/>
                <w:i/>
                <w:iCs/>
                <w:sz w:val="20"/>
                <w:szCs w:val="20"/>
              </w:rPr>
              <w:t>sprawie wyznaczania charakterystyki energetycznej i</w:t>
            </w:r>
            <w:r>
              <w:rPr>
                <w:rFonts w:ascii="Times New Roman" w:hAnsi="Times New Roman" w:cs="Times New Roman"/>
                <w:i/>
                <w:iCs/>
                <w:sz w:val="20"/>
                <w:szCs w:val="20"/>
              </w:rPr>
              <w:t> </w:t>
            </w:r>
            <w:r w:rsidRPr="007816AF">
              <w:rPr>
                <w:rFonts w:ascii="Times New Roman" w:hAnsi="Times New Roman" w:cs="Times New Roman"/>
                <w:i/>
                <w:iCs/>
                <w:sz w:val="20"/>
                <w:szCs w:val="20"/>
              </w:rPr>
              <w:t>wzoru świadectw.</w:t>
            </w:r>
          </w:p>
          <w:p w14:paraId="00FCD46C" w14:textId="32C636F4" w:rsidR="00F85687" w:rsidRPr="007816AF" w:rsidRDefault="00F85687" w:rsidP="00F85687">
            <w:pPr>
              <w:spacing w:before="120" w:after="120"/>
              <w:jc w:val="both"/>
              <w:rPr>
                <w:rFonts w:ascii="Times New Roman" w:hAnsi="Times New Roman" w:cs="Times New Roman"/>
                <w:sz w:val="20"/>
                <w:szCs w:val="20"/>
              </w:rPr>
            </w:pPr>
            <w:r w:rsidRPr="007816AF">
              <w:rPr>
                <w:rFonts w:ascii="Times New Roman" w:hAnsi="Times New Roman" w:cs="Times New Roman"/>
                <w:sz w:val="20"/>
                <w:szCs w:val="20"/>
              </w:rPr>
              <w:t>Zapis ten pozostał w praktyce martwy, ponieważ sprawdzając ogłoszenia na popularnych portalach oferujących sprzedaż nieruchomości, można zauważyć, że tylko jedno na kilkanaście, a</w:t>
            </w:r>
            <w:r>
              <w:rPr>
                <w:rFonts w:ascii="Times New Roman" w:hAnsi="Times New Roman" w:cs="Times New Roman"/>
                <w:sz w:val="20"/>
                <w:szCs w:val="20"/>
              </w:rPr>
              <w:t> </w:t>
            </w:r>
            <w:r w:rsidRPr="007816AF">
              <w:rPr>
                <w:rFonts w:ascii="Times New Roman" w:hAnsi="Times New Roman" w:cs="Times New Roman"/>
                <w:sz w:val="20"/>
                <w:szCs w:val="20"/>
              </w:rPr>
              <w:t>czasem jedno na kilkadziesiąt ogłoszeń zawiera informacje dotyczące efektywności energetycznej sprzedawanego/wynajmowanego obiektu. Jest to ogromna strata potencjału edukacyjnego, który te informacje wnoszą. Z tego punktu widzenia umieszczenie ich w rządowym Portalu DOM jest kluczowe. Dodatkowo, może się to przyczynić do upowszechnienia wprowadzania tych informacji przez portale ogłoszeniowe, dzięki czemu kupujący będzie świadom potencjalnych kosztów związanych z</w:t>
            </w:r>
            <w:r>
              <w:rPr>
                <w:rFonts w:ascii="Times New Roman" w:hAnsi="Times New Roman" w:cs="Times New Roman"/>
                <w:sz w:val="20"/>
                <w:szCs w:val="20"/>
              </w:rPr>
              <w:t> </w:t>
            </w:r>
            <w:r w:rsidRPr="007816AF">
              <w:rPr>
                <w:rFonts w:ascii="Times New Roman" w:hAnsi="Times New Roman" w:cs="Times New Roman"/>
                <w:sz w:val="20"/>
                <w:szCs w:val="20"/>
              </w:rPr>
              <w:t>eksploatacją budynku/mieszkania.</w:t>
            </w:r>
          </w:p>
        </w:tc>
        <w:tc>
          <w:tcPr>
            <w:tcW w:w="4160" w:type="dxa"/>
          </w:tcPr>
          <w:p w14:paraId="0A624F65" w14:textId="77777777" w:rsidR="00F85687" w:rsidRPr="00A21099" w:rsidRDefault="00F85687" w:rsidP="00F85687">
            <w:pPr>
              <w:spacing w:before="120" w:after="120"/>
              <w:jc w:val="both"/>
              <w:rPr>
                <w:rFonts w:ascii="Times New Roman" w:hAnsi="Times New Roman" w:cs="Times New Roman"/>
                <w:b/>
                <w:bCs/>
                <w:sz w:val="20"/>
              </w:rPr>
            </w:pPr>
            <w:r w:rsidRPr="00A21099">
              <w:rPr>
                <w:rFonts w:ascii="Times New Roman" w:hAnsi="Times New Roman" w:cs="Times New Roman"/>
                <w:b/>
                <w:bCs/>
                <w:sz w:val="20"/>
              </w:rPr>
              <w:lastRenderedPageBreak/>
              <w:t>Uwaga nieuwzględniona</w:t>
            </w:r>
          </w:p>
          <w:p w14:paraId="458CDEFA" w14:textId="0B30221B" w:rsidR="00F85687" w:rsidRDefault="00F85687" w:rsidP="00F85687">
            <w:pPr>
              <w:spacing w:before="120" w:after="120"/>
              <w:jc w:val="both"/>
              <w:rPr>
                <w:rFonts w:ascii="Times New Roman" w:hAnsi="Times New Roman" w:cs="Times New Roman"/>
                <w:sz w:val="20"/>
              </w:rPr>
            </w:pPr>
            <w:r w:rsidRPr="007B48FA">
              <w:rPr>
                <w:rFonts w:ascii="Times New Roman" w:hAnsi="Times New Roman" w:cs="Times New Roman"/>
                <w:sz w:val="20"/>
              </w:rPr>
              <w:t>Portal DOM będzie korzystał z danych i</w:t>
            </w:r>
            <w:r>
              <w:rPr>
                <w:rFonts w:ascii="Times New Roman" w:hAnsi="Times New Roman" w:cs="Times New Roman"/>
                <w:sz w:val="20"/>
              </w:rPr>
              <w:t> </w:t>
            </w:r>
            <w:r w:rsidRPr="007B48FA">
              <w:rPr>
                <w:rFonts w:ascii="Times New Roman" w:hAnsi="Times New Roman" w:cs="Times New Roman"/>
                <w:sz w:val="20"/>
              </w:rPr>
              <w:t>informacji, co do zasady, gromadzonych już przez podmioty publiczne</w:t>
            </w:r>
            <w:r>
              <w:rPr>
                <w:rFonts w:ascii="Times New Roman" w:hAnsi="Times New Roman" w:cs="Times New Roman"/>
                <w:sz w:val="20"/>
              </w:rPr>
              <w:t xml:space="preserve"> uczestniczące w systemie DOM</w:t>
            </w:r>
            <w:r w:rsidRPr="007B48FA">
              <w:rPr>
                <w:rFonts w:ascii="Times New Roman" w:hAnsi="Times New Roman" w:cs="Times New Roman"/>
                <w:sz w:val="20"/>
              </w:rPr>
              <w:t xml:space="preserve">. Dokonane rozszerzenia zakresów danych i informacji zbieranych przez </w:t>
            </w:r>
            <w:r>
              <w:rPr>
                <w:rFonts w:ascii="Times New Roman" w:hAnsi="Times New Roman" w:cs="Times New Roman"/>
                <w:sz w:val="20"/>
              </w:rPr>
              <w:t>te</w:t>
            </w:r>
            <w:r w:rsidRPr="007B48FA">
              <w:rPr>
                <w:rFonts w:ascii="Times New Roman" w:hAnsi="Times New Roman" w:cs="Times New Roman"/>
                <w:sz w:val="20"/>
              </w:rPr>
              <w:t xml:space="preserve"> podmioty są motywowane, w pierwszej kolejności, przez potrzeby stojące dotychczas za zbieraniem tych danych i informacji. Zasilenie Portalu DOM jest w tym kontekście motywacją wtórną.</w:t>
            </w:r>
          </w:p>
          <w:p w14:paraId="2F964BE0" w14:textId="0E8A9707" w:rsidR="00F85687" w:rsidRDefault="00F85687" w:rsidP="00F85687">
            <w:pPr>
              <w:spacing w:before="120" w:after="120"/>
              <w:jc w:val="both"/>
              <w:rPr>
                <w:rFonts w:ascii="Times New Roman" w:hAnsi="Times New Roman" w:cs="Times New Roman"/>
                <w:sz w:val="20"/>
              </w:rPr>
            </w:pPr>
            <w:r>
              <w:rPr>
                <w:rFonts w:ascii="Times New Roman" w:hAnsi="Times New Roman" w:cs="Times New Roman"/>
                <w:sz w:val="20"/>
              </w:rPr>
              <w:lastRenderedPageBreak/>
              <w:t xml:space="preserve">W ocenie projektodawcy ważnym </w:t>
            </w:r>
            <w:r w:rsidRPr="006507CE">
              <w:rPr>
                <w:rFonts w:ascii="Times New Roman" w:hAnsi="Times New Roman" w:cs="Times New Roman"/>
                <w:sz w:val="20"/>
              </w:rPr>
              <w:t xml:space="preserve">dla osób szukających mieszkania </w:t>
            </w:r>
            <w:r>
              <w:rPr>
                <w:rFonts w:ascii="Times New Roman" w:hAnsi="Times New Roman" w:cs="Times New Roman"/>
                <w:sz w:val="20"/>
              </w:rPr>
              <w:t>(i czytelnym nawet dla osób nieporuszających się biegle w temacie efektywności energetycznej) punktem odniesienia może stać się w przyszłości s</w:t>
            </w:r>
            <w:r w:rsidRPr="00471C7F">
              <w:rPr>
                <w:rFonts w:ascii="Times New Roman" w:hAnsi="Times New Roman" w:cs="Times New Roman"/>
                <w:sz w:val="20"/>
              </w:rPr>
              <w:t xml:space="preserve">ystem klas energetycznych, </w:t>
            </w:r>
            <w:r>
              <w:rPr>
                <w:rFonts w:ascii="Times New Roman" w:hAnsi="Times New Roman" w:cs="Times New Roman"/>
                <w:sz w:val="20"/>
              </w:rPr>
              <w:t xml:space="preserve">który </w:t>
            </w:r>
            <w:r w:rsidRPr="00471C7F">
              <w:rPr>
                <w:rFonts w:ascii="Times New Roman" w:hAnsi="Times New Roman" w:cs="Times New Roman"/>
                <w:sz w:val="20"/>
              </w:rPr>
              <w:t>wprowadz</w:t>
            </w:r>
            <w:r>
              <w:rPr>
                <w:rFonts w:ascii="Times New Roman" w:hAnsi="Times New Roman" w:cs="Times New Roman"/>
                <w:sz w:val="20"/>
              </w:rPr>
              <w:t>i</w:t>
            </w:r>
            <w:r w:rsidRPr="00471C7F">
              <w:rPr>
                <w:rFonts w:ascii="Times New Roman" w:hAnsi="Times New Roman" w:cs="Times New Roman"/>
                <w:sz w:val="20"/>
              </w:rPr>
              <w:t xml:space="preserve"> </w:t>
            </w:r>
            <w:r>
              <w:rPr>
                <w:rFonts w:ascii="Times New Roman" w:hAnsi="Times New Roman" w:cs="Times New Roman"/>
                <w:sz w:val="20"/>
              </w:rPr>
              <w:t>przejrzystą</w:t>
            </w:r>
            <w:r w:rsidRPr="00471C7F">
              <w:rPr>
                <w:rFonts w:ascii="Times New Roman" w:hAnsi="Times New Roman" w:cs="Times New Roman"/>
                <w:sz w:val="20"/>
              </w:rPr>
              <w:t xml:space="preserve"> kategoryzację budynków pod względem zapotrzebowania na energię</w:t>
            </w:r>
            <w:r>
              <w:rPr>
                <w:rFonts w:ascii="Times New Roman" w:hAnsi="Times New Roman" w:cs="Times New Roman"/>
                <w:sz w:val="20"/>
              </w:rPr>
              <w:t>.</w:t>
            </w:r>
            <w:r w:rsidRPr="00471C7F">
              <w:rPr>
                <w:rFonts w:ascii="Times New Roman" w:hAnsi="Times New Roman" w:cs="Times New Roman"/>
                <w:sz w:val="20"/>
              </w:rPr>
              <w:t xml:space="preserve"> </w:t>
            </w:r>
            <w:r>
              <w:rPr>
                <w:rFonts w:ascii="Times New Roman" w:hAnsi="Times New Roman" w:cs="Times New Roman"/>
                <w:sz w:val="20"/>
              </w:rPr>
              <w:t>M</w:t>
            </w:r>
            <w:r w:rsidRPr="00471C7F">
              <w:rPr>
                <w:rFonts w:ascii="Times New Roman" w:hAnsi="Times New Roman" w:cs="Times New Roman"/>
                <w:sz w:val="20"/>
              </w:rPr>
              <w:t xml:space="preserve">ożna się </w:t>
            </w:r>
            <w:r>
              <w:rPr>
                <w:rFonts w:ascii="Times New Roman" w:hAnsi="Times New Roman" w:cs="Times New Roman"/>
                <w:sz w:val="20"/>
              </w:rPr>
              <w:t xml:space="preserve">też </w:t>
            </w:r>
            <w:r w:rsidRPr="00471C7F">
              <w:rPr>
                <w:rFonts w:ascii="Times New Roman" w:hAnsi="Times New Roman" w:cs="Times New Roman"/>
                <w:sz w:val="20"/>
              </w:rPr>
              <w:t>spodziewać statystycznego powiązania – w</w:t>
            </w:r>
            <w:r>
              <w:rPr>
                <w:rFonts w:ascii="Times New Roman" w:hAnsi="Times New Roman" w:cs="Times New Roman"/>
                <w:sz w:val="20"/>
              </w:rPr>
              <w:t> </w:t>
            </w:r>
            <w:r w:rsidRPr="00471C7F">
              <w:rPr>
                <w:rFonts w:ascii="Times New Roman" w:hAnsi="Times New Roman" w:cs="Times New Roman"/>
                <w:sz w:val="20"/>
              </w:rPr>
              <w:t>szczególności na rynku wtórnym – pomiędzy cenami mieszkań a ich klasami charakterystyki energetycznej. W przyszłości nie jest zatem wykluczone wprowadzenie odpowiednich zmian w ustawie regulującej funkcjonowanie Portalu DOM</w:t>
            </w:r>
            <w:r>
              <w:rPr>
                <w:rFonts w:ascii="Times New Roman" w:hAnsi="Times New Roman" w:cs="Times New Roman"/>
                <w:sz w:val="20"/>
              </w:rPr>
              <w:t>, która uwzględni ten system.</w:t>
            </w:r>
          </w:p>
          <w:p w14:paraId="7E6DD519" w14:textId="5BA1910C" w:rsidR="00F85687" w:rsidRPr="00AF3C11" w:rsidRDefault="00F85687" w:rsidP="00F85687">
            <w:pPr>
              <w:spacing w:before="120" w:after="120"/>
              <w:jc w:val="both"/>
              <w:rPr>
                <w:rFonts w:ascii="Times New Roman" w:hAnsi="Times New Roman" w:cs="Times New Roman"/>
                <w:sz w:val="20"/>
              </w:rPr>
            </w:pPr>
            <w:r>
              <w:rPr>
                <w:rFonts w:ascii="Times New Roman" w:hAnsi="Times New Roman" w:cs="Times New Roman"/>
                <w:sz w:val="20"/>
              </w:rPr>
              <w:t>Niezależnie od powyższego, w Portalu DOM będą prezentowane statystyki dotyczące cen transakcyjnych (czyli cen z już przeprowadzonych transakcji), nie zaś cen ofertowych nieruchomości mieszkaniowych.</w:t>
            </w:r>
          </w:p>
        </w:tc>
      </w:tr>
      <w:tr w:rsidR="00F85687" w:rsidRPr="00FF4480" w14:paraId="0971A627" w14:textId="77777777" w:rsidTr="00E9565F">
        <w:trPr>
          <w:jc w:val="center"/>
        </w:trPr>
        <w:tc>
          <w:tcPr>
            <w:tcW w:w="554" w:type="dxa"/>
          </w:tcPr>
          <w:p w14:paraId="00AF8697"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8CB01E1" w14:textId="305FF0D8" w:rsidR="00F85687" w:rsidRPr="007816AF" w:rsidRDefault="00F85687" w:rsidP="00F85687">
            <w:pPr>
              <w:spacing w:before="120" w:after="120"/>
              <w:rPr>
                <w:rFonts w:ascii="Times New Roman" w:hAnsi="Times New Roman" w:cs="Times New Roman"/>
                <w:sz w:val="20"/>
                <w:szCs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4F140954" w14:textId="6BA75580" w:rsidR="00F85687" w:rsidRPr="007816AF" w:rsidRDefault="00F85687" w:rsidP="00F85687">
            <w:pPr>
              <w:spacing w:before="120" w:after="120"/>
              <w:jc w:val="center"/>
              <w:rPr>
                <w:rFonts w:ascii="Times New Roman" w:hAnsi="Times New Roman" w:cs="Times New Roman"/>
                <w:sz w:val="20"/>
                <w:szCs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zakresie art. 56a ust. 3</w:t>
            </w:r>
          </w:p>
        </w:tc>
        <w:tc>
          <w:tcPr>
            <w:tcW w:w="5670" w:type="dxa"/>
            <w:vAlign w:val="center"/>
          </w:tcPr>
          <w:p w14:paraId="721FE34C" w14:textId="01068BA9" w:rsidR="00F85687" w:rsidRPr="00406800" w:rsidRDefault="00F85687" w:rsidP="00F85687">
            <w:pPr>
              <w:spacing w:before="120" w:after="120"/>
              <w:jc w:val="both"/>
              <w:rPr>
                <w:rFonts w:ascii="Times New Roman" w:hAnsi="Times New Roman" w:cs="Times New Roman"/>
                <w:sz w:val="20"/>
                <w:szCs w:val="20"/>
              </w:rPr>
            </w:pPr>
            <w:r w:rsidRPr="00406800">
              <w:rPr>
                <w:rFonts w:ascii="Times New Roman" w:hAnsi="Times New Roman" w:cs="Times New Roman"/>
                <w:sz w:val="20"/>
                <w:szCs w:val="20"/>
              </w:rPr>
              <w:t>Brak powiązania ze świadectwem efektywności energetycznej</w:t>
            </w:r>
          </w:p>
          <w:p w14:paraId="1126F43F" w14:textId="3DCFF8AD" w:rsidR="00F85687" w:rsidRPr="00406800" w:rsidRDefault="00F85687" w:rsidP="00F85687">
            <w:pPr>
              <w:spacing w:before="120" w:after="120"/>
              <w:jc w:val="both"/>
              <w:rPr>
                <w:rFonts w:ascii="Times New Roman" w:hAnsi="Times New Roman" w:cs="Times New Roman"/>
                <w:sz w:val="20"/>
                <w:szCs w:val="20"/>
              </w:rPr>
            </w:pPr>
            <w:r w:rsidRPr="00406800">
              <w:rPr>
                <w:rFonts w:ascii="Times New Roman" w:hAnsi="Times New Roman" w:cs="Times New Roman"/>
                <w:sz w:val="20"/>
                <w:szCs w:val="20"/>
              </w:rPr>
              <w:t xml:space="preserve">Świadectwa efektywności energetycznej stały się obowiązkowym dokumentem przy obrocie nieruchomościami. Od 28 kwietnia 2023 roku, cyfrowe wersje tych świadectw są dostępne w odpowiednim rejestrze i zawierają datę oddania budynku do użytkowania. Dobrym </w:t>
            </w:r>
            <w:r w:rsidRPr="00406800">
              <w:rPr>
                <w:rFonts w:ascii="Times New Roman" w:hAnsi="Times New Roman" w:cs="Times New Roman"/>
                <w:sz w:val="20"/>
                <w:szCs w:val="20"/>
              </w:rPr>
              <w:lastRenderedPageBreak/>
              <w:t>rozwiązaniem byłoby powiązanie tego rejestru z danymi o obrocie, co pozwoliłoby na uzupełnienie informacji dotyczących wieku i</w:t>
            </w:r>
            <w:r>
              <w:rPr>
                <w:rFonts w:ascii="Times New Roman" w:hAnsi="Times New Roman" w:cs="Times New Roman"/>
                <w:sz w:val="20"/>
                <w:szCs w:val="20"/>
              </w:rPr>
              <w:t> </w:t>
            </w:r>
            <w:r w:rsidRPr="00406800">
              <w:rPr>
                <w:rFonts w:ascii="Times New Roman" w:hAnsi="Times New Roman" w:cs="Times New Roman"/>
                <w:sz w:val="20"/>
                <w:szCs w:val="20"/>
              </w:rPr>
              <w:t>stanu technicznego budynków oraz wprowadzenie danych o</w:t>
            </w:r>
            <w:r>
              <w:rPr>
                <w:rFonts w:ascii="Times New Roman" w:hAnsi="Times New Roman" w:cs="Times New Roman"/>
                <w:sz w:val="20"/>
                <w:szCs w:val="20"/>
              </w:rPr>
              <w:t> </w:t>
            </w:r>
            <w:r w:rsidRPr="00406800">
              <w:rPr>
                <w:rFonts w:ascii="Times New Roman" w:hAnsi="Times New Roman" w:cs="Times New Roman"/>
                <w:sz w:val="20"/>
                <w:szCs w:val="20"/>
              </w:rPr>
              <w:t>obiektach objętych ochroną konserwatorską.</w:t>
            </w:r>
          </w:p>
          <w:p w14:paraId="4EB6B2BB" w14:textId="31F2EA6C" w:rsidR="00F85687" w:rsidRPr="007816AF" w:rsidRDefault="00F85687" w:rsidP="00F85687">
            <w:pPr>
              <w:spacing w:before="120" w:after="120"/>
              <w:jc w:val="both"/>
              <w:rPr>
                <w:rFonts w:ascii="Times New Roman" w:hAnsi="Times New Roman" w:cs="Times New Roman"/>
                <w:sz w:val="20"/>
                <w:szCs w:val="20"/>
              </w:rPr>
            </w:pPr>
            <w:r w:rsidRPr="00406800">
              <w:rPr>
                <w:rFonts w:ascii="Times New Roman" w:hAnsi="Times New Roman" w:cs="Times New Roman"/>
                <w:sz w:val="20"/>
                <w:szCs w:val="20"/>
              </w:rPr>
              <w:t>Standard budynku oraz jego cena są ściśle związane z efektywnością energetyczną, a konieczność jej poprawy wiąże się z wymiernymi kosztami. Wiele narzędzi wprowadzanych w ramach działań na rzecz ograniczenia niskiej emisji i promowania odnawialnych źródeł energii dotyczy zasobów mieszkaniowych, zarówno w budynkach wielorodzinnych, jak i jednorodzinnych. Pomijanie informacji o</w:t>
            </w:r>
            <w:r>
              <w:rPr>
                <w:rFonts w:ascii="Times New Roman" w:hAnsi="Times New Roman" w:cs="Times New Roman"/>
                <w:sz w:val="20"/>
                <w:szCs w:val="20"/>
              </w:rPr>
              <w:t> </w:t>
            </w:r>
            <w:r w:rsidRPr="00406800">
              <w:rPr>
                <w:rFonts w:ascii="Times New Roman" w:hAnsi="Times New Roman" w:cs="Times New Roman"/>
                <w:sz w:val="20"/>
                <w:szCs w:val="20"/>
              </w:rPr>
              <w:t>efektywności energetycznej, która obecnie musi być uwzględniana nawet w ogłoszeniach o sprzedaży lub wynajmie, ogranicza możliwość monitorowania skuteczności polityki mieszkaniowej w</w:t>
            </w:r>
            <w:r>
              <w:rPr>
                <w:rFonts w:ascii="Times New Roman" w:hAnsi="Times New Roman" w:cs="Times New Roman"/>
                <w:sz w:val="20"/>
                <w:szCs w:val="20"/>
              </w:rPr>
              <w:t> </w:t>
            </w:r>
            <w:r w:rsidRPr="00406800">
              <w:rPr>
                <w:rFonts w:ascii="Times New Roman" w:hAnsi="Times New Roman" w:cs="Times New Roman"/>
                <w:sz w:val="20"/>
                <w:szCs w:val="20"/>
              </w:rPr>
              <w:t>zakresie poprawy tej efektywności oraz jej wpływu na rynek nieruchomości.</w:t>
            </w:r>
          </w:p>
        </w:tc>
        <w:tc>
          <w:tcPr>
            <w:tcW w:w="4160" w:type="dxa"/>
          </w:tcPr>
          <w:p w14:paraId="435DD9F5" w14:textId="77777777" w:rsidR="00F85687" w:rsidRPr="00A21099" w:rsidRDefault="00F85687" w:rsidP="00F85687">
            <w:pPr>
              <w:spacing w:before="120" w:after="120"/>
              <w:jc w:val="both"/>
              <w:rPr>
                <w:rFonts w:ascii="Times New Roman" w:hAnsi="Times New Roman" w:cs="Times New Roman"/>
                <w:b/>
                <w:bCs/>
                <w:sz w:val="20"/>
              </w:rPr>
            </w:pPr>
            <w:r w:rsidRPr="00A21099">
              <w:rPr>
                <w:rFonts w:ascii="Times New Roman" w:hAnsi="Times New Roman" w:cs="Times New Roman"/>
                <w:b/>
                <w:bCs/>
                <w:sz w:val="20"/>
              </w:rPr>
              <w:lastRenderedPageBreak/>
              <w:t>Uwaga nieuwzględniona</w:t>
            </w:r>
          </w:p>
          <w:p w14:paraId="1DAD17A7" w14:textId="77777777" w:rsidR="00F85687" w:rsidRDefault="00F85687" w:rsidP="00F85687">
            <w:pPr>
              <w:spacing w:before="120" w:after="120"/>
              <w:jc w:val="both"/>
              <w:rPr>
                <w:rFonts w:ascii="Times New Roman" w:hAnsi="Times New Roman" w:cs="Times New Roman"/>
                <w:sz w:val="20"/>
              </w:rPr>
            </w:pPr>
            <w:r w:rsidRPr="007B48FA">
              <w:rPr>
                <w:rFonts w:ascii="Times New Roman" w:hAnsi="Times New Roman" w:cs="Times New Roman"/>
                <w:sz w:val="20"/>
              </w:rPr>
              <w:t>Portal DOM będzie korzystał z danych i</w:t>
            </w:r>
            <w:r>
              <w:rPr>
                <w:rFonts w:ascii="Times New Roman" w:hAnsi="Times New Roman" w:cs="Times New Roman"/>
                <w:sz w:val="20"/>
              </w:rPr>
              <w:t> </w:t>
            </w:r>
            <w:r w:rsidRPr="007B48FA">
              <w:rPr>
                <w:rFonts w:ascii="Times New Roman" w:hAnsi="Times New Roman" w:cs="Times New Roman"/>
                <w:sz w:val="20"/>
              </w:rPr>
              <w:t>informacji, co do zasady, gromadzonych już przez podmioty publiczne</w:t>
            </w:r>
            <w:r>
              <w:rPr>
                <w:rFonts w:ascii="Times New Roman" w:hAnsi="Times New Roman" w:cs="Times New Roman"/>
                <w:sz w:val="20"/>
              </w:rPr>
              <w:t xml:space="preserve"> uczestniczące w systemie DOM</w:t>
            </w:r>
            <w:r w:rsidRPr="007B48FA">
              <w:rPr>
                <w:rFonts w:ascii="Times New Roman" w:hAnsi="Times New Roman" w:cs="Times New Roman"/>
                <w:sz w:val="20"/>
              </w:rPr>
              <w:t xml:space="preserve">. Dokonane rozszerzenia </w:t>
            </w:r>
            <w:r w:rsidRPr="007B48FA">
              <w:rPr>
                <w:rFonts w:ascii="Times New Roman" w:hAnsi="Times New Roman" w:cs="Times New Roman"/>
                <w:sz w:val="20"/>
              </w:rPr>
              <w:lastRenderedPageBreak/>
              <w:t xml:space="preserve">zakresów danych i informacji zbieranych przez </w:t>
            </w:r>
            <w:r>
              <w:rPr>
                <w:rFonts w:ascii="Times New Roman" w:hAnsi="Times New Roman" w:cs="Times New Roman"/>
                <w:sz w:val="20"/>
              </w:rPr>
              <w:t>te</w:t>
            </w:r>
            <w:r w:rsidRPr="007B48FA">
              <w:rPr>
                <w:rFonts w:ascii="Times New Roman" w:hAnsi="Times New Roman" w:cs="Times New Roman"/>
                <w:sz w:val="20"/>
              </w:rPr>
              <w:t xml:space="preserve"> podmioty są motywowane, w pierwszej kolejności, przez potrzeby stojące dotychczas za zbieraniem tych danych i informacji. Zasilenie Portalu DOM jest w tym kontekście motywacją wtórną.</w:t>
            </w:r>
          </w:p>
          <w:p w14:paraId="14712A6D" w14:textId="77777777" w:rsidR="00F85687" w:rsidRDefault="00F85687" w:rsidP="00F85687">
            <w:pPr>
              <w:spacing w:before="120" w:after="120"/>
              <w:jc w:val="both"/>
              <w:rPr>
                <w:rFonts w:ascii="Times New Roman" w:hAnsi="Times New Roman" w:cs="Times New Roman"/>
                <w:sz w:val="20"/>
              </w:rPr>
            </w:pPr>
            <w:r>
              <w:rPr>
                <w:rFonts w:ascii="Times New Roman" w:hAnsi="Times New Roman" w:cs="Times New Roman"/>
                <w:sz w:val="20"/>
              </w:rPr>
              <w:t xml:space="preserve">W ocenie projektodawcy ważnym </w:t>
            </w:r>
            <w:r w:rsidRPr="006507CE">
              <w:rPr>
                <w:rFonts w:ascii="Times New Roman" w:hAnsi="Times New Roman" w:cs="Times New Roman"/>
                <w:sz w:val="20"/>
              </w:rPr>
              <w:t xml:space="preserve">dla osób szukających mieszkania </w:t>
            </w:r>
            <w:r>
              <w:rPr>
                <w:rFonts w:ascii="Times New Roman" w:hAnsi="Times New Roman" w:cs="Times New Roman"/>
                <w:sz w:val="20"/>
              </w:rPr>
              <w:t>(i czytelnym nawet dla osób nieporuszających się biegle w temacie efektywności energetycznej) punktem odniesienia może stać się w przyszłości s</w:t>
            </w:r>
            <w:r w:rsidRPr="00471C7F">
              <w:rPr>
                <w:rFonts w:ascii="Times New Roman" w:hAnsi="Times New Roman" w:cs="Times New Roman"/>
                <w:sz w:val="20"/>
              </w:rPr>
              <w:t xml:space="preserve">ystem klas energetycznych, </w:t>
            </w:r>
            <w:r>
              <w:rPr>
                <w:rFonts w:ascii="Times New Roman" w:hAnsi="Times New Roman" w:cs="Times New Roman"/>
                <w:sz w:val="20"/>
              </w:rPr>
              <w:t xml:space="preserve">który </w:t>
            </w:r>
            <w:r w:rsidRPr="00471C7F">
              <w:rPr>
                <w:rFonts w:ascii="Times New Roman" w:hAnsi="Times New Roman" w:cs="Times New Roman"/>
                <w:sz w:val="20"/>
              </w:rPr>
              <w:t>wprowadz</w:t>
            </w:r>
            <w:r>
              <w:rPr>
                <w:rFonts w:ascii="Times New Roman" w:hAnsi="Times New Roman" w:cs="Times New Roman"/>
                <w:sz w:val="20"/>
              </w:rPr>
              <w:t>i</w:t>
            </w:r>
            <w:r w:rsidRPr="00471C7F">
              <w:rPr>
                <w:rFonts w:ascii="Times New Roman" w:hAnsi="Times New Roman" w:cs="Times New Roman"/>
                <w:sz w:val="20"/>
              </w:rPr>
              <w:t xml:space="preserve"> </w:t>
            </w:r>
            <w:r>
              <w:rPr>
                <w:rFonts w:ascii="Times New Roman" w:hAnsi="Times New Roman" w:cs="Times New Roman"/>
                <w:sz w:val="20"/>
              </w:rPr>
              <w:t>przejrzystą</w:t>
            </w:r>
            <w:r w:rsidRPr="00471C7F">
              <w:rPr>
                <w:rFonts w:ascii="Times New Roman" w:hAnsi="Times New Roman" w:cs="Times New Roman"/>
                <w:sz w:val="20"/>
              </w:rPr>
              <w:t xml:space="preserve"> kategoryzację budynków pod względem zapotrzebowania na energię</w:t>
            </w:r>
            <w:r>
              <w:rPr>
                <w:rFonts w:ascii="Times New Roman" w:hAnsi="Times New Roman" w:cs="Times New Roman"/>
                <w:sz w:val="20"/>
              </w:rPr>
              <w:t>.</w:t>
            </w:r>
            <w:r w:rsidRPr="00471C7F">
              <w:rPr>
                <w:rFonts w:ascii="Times New Roman" w:hAnsi="Times New Roman" w:cs="Times New Roman"/>
                <w:sz w:val="20"/>
              </w:rPr>
              <w:t xml:space="preserve"> </w:t>
            </w:r>
            <w:r>
              <w:rPr>
                <w:rFonts w:ascii="Times New Roman" w:hAnsi="Times New Roman" w:cs="Times New Roman"/>
                <w:sz w:val="20"/>
              </w:rPr>
              <w:t>M</w:t>
            </w:r>
            <w:r w:rsidRPr="00471C7F">
              <w:rPr>
                <w:rFonts w:ascii="Times New Roman" w:hAnsi="Times New Roman" w:cs="Times New Roman"/>
                <w:sz w:val="20"/>
              </w:rPr>
              <w:t xml:space="preserve">ożna się </w:t>
            </w:r>
            <w:r>
              <w:rPr>
                <w:rFonts w:ascii="Times New Roman" w:hAnsi="Times New Roman" w:cs="Times New Roman"/>
                <w:sz w:val="20"/>
              </w:rPr>
              <w:t xml:space="preserve">też </w:t>
            </w:r>
            <w:r w:rsidRPr="00471C7F">
              <w:rPr>
                <w:rFonts w:ascii="Times New Roman" w:hAnsi="Times New Roman" w:cs="Times New Roman"/>
                <w:sz w:val="20"/>
              </w:rPr>
              <w:t>spodziewać statystycznego powiązania – w</w:t>
            </w:r>
            <w:r>
              <w:rPr>
                <w:rFonts w:ascii="Times New Roman" w:hAnsi="Times New Roman" w:cs="Times New Roman"/>
                <w:sz w:val="20"/>
              </w:rPr>
              <w:t> </w:t>
            </w:r>
            <w:r w:rsidRPr="00471C7F">
              <w:rPr>
                <w:rFonts w:ascii="Times New Roman" w:hAnsi="Times New Roman" w:cs="Times New Roman"/>
                <w:sz w:val="20"/>
              </w:rPr>
              <w:t>szczególności na rynku wtórnym – pomiędzy cenami mieszkań a ich klasami charakterystyki energetycznej. W przyszłości nie jest zatem wykluczone wprowadzenie odpowiednich zmian w ustawie regulującej funkcjonowanie Portalu DOM</w:t>
            </w:r>
            <w:r>
              <w:rPr>
                <w:rFonts w:ascii="Times New Roman" w:hAnsi="Times New Roman" w:cs="Times New Roman"/>
                <w:sz w:val="20"/>
              </w:rPr>
              <w:t>, która uwzględni ten system.</w:t>
            </w:r>
          </w:p>
          <w:p w14:paraId="1109E4A9" w14:textId="1CA610F2" w:rsidR="00F85687" w:rsidRPr="00C60A77" w:rsidRDefault="00F85687" w:rsidP="00F85687">
            <w:pPr>
              <w:spacing w:before="120" w:after="120"/>
              <w:jc w:val="both"/>
              <w:rPr>
                <w:rFonts w:ascii="Times New Roman" w:hAnsi="Times New Roman" w:cs="Times New Roman"/>
                <w:sz w:val="20"/>
              </w:rPr>
            </w:pPr>
            <w:r>
              <w:rPr>
                <w:rFonts w:ascii="Times New Roman" w:hAnsi="Times New Roman" w:cs="Times New Roman"/>
                <w:sz w:val="20"/>
              </w:rPr>
              <w:t>Niezależnie od powyższego, p</w:t>
            </w:r>
            <w:r w:rsidRPr="00C60A77">
              <w:rPr>
                <w:rFonts w:ascii="Times New Roman" w:hAnsi="Times New Roman" w:cs="Times New Roman"/>
                <w:sz w:val="20"/>
              </w:rPr>
              <w:t>rojektodawca ma świadomość tego, że prezentacja uśrednionych cen nieruchomości mieszkaniowych (nawet dla porównywalnych kategorii tych nieruchomości) niesie za sobą ryzyka dla użyteczności publikowanych w Portalu informacji (wynika to jednak także z istoty statystyk). Projektodawca ma również świadomość, że prezentacja statystyk cen transakcyjnych opartych na tak ogólnych parametrach jak przyjęte nie będzie uwzględniała części czynników wpływających na cenę, np. stanu lokalu, jego wyposażenia, np. w meble i</w:t>
            </w:r>
            <w:r>
              <w:rPr>
                <w:rFonts w:ascii="Times New Roman" w:hAnsi="Times New Roman" w:cs="Times New Roman"/>
                <w:sz w:val="20"/>
              </w:rPr>
              <w:t> </w:t>
            </w:r>
            <w:r w:rsidRPr="00C60A77">
              <w:rPr>
                <w:rFonts w:ascii="Times New Roman" w:hAnsi="Times New Roman" w:cs="Times New Roman"/>
                <w:sz w:val="20"/>
              </w:rPr>
              <w:t xml:space="preserve">sprzęt AGD, różnic w nakładach na wykończenie, walorów najbliższego otoczenia czy innych indywidualnych czynników </w:t>
            </w:r>
            <w:r>
              <w:rPr>
                <w:rFonts w:ascii="Times New Roman" w:hAnsi="Times New Roman" w:cs="Times New Roman"/>
                <w:sz w:val="20"/>
              </w:rPr>
              <w:t>kształtujących</w:t>
            </w:r>
            <w:r w:rsidRPr="00C60A77">
              <w:rPr>
                <w:rFonts w:ascii="Times New Roman" w:hAnsi="Times New Roman" w:cs="Times New Roman"/>
                <w:sz w:val="20"/>
              </w:rPr>
              <w:t xml:space="preserve"> wartość nieruchomości, co oczywiście może ograniczać wartość </w:t>
            </w:r>
            <w:r w:rsidRPr="00C60A77">
              <w:rPr>
                <w:rFonts w:ascii="Times New Roman" w:hAnsi="Times New Roman" w:cs="Times New Roman"/>
                <w:sz w:val="20"/>
              </w:rPr>
              <w:lastRenderedPageBreak/>
              <w:t>porównawczą dokonywanych zestawień, a</w:t>
            </w:r>
            <w:r>
              <w:rPr>
                <w:rFonts w:ascii="Times New Roman" w:hAnsi="Times New Roman" w:cs="Times New Roman"/>
                <w:sz w:val="20"/>
              </w:rPr>
              <w:t> </w:t>
            </w:r>
            <w:r w:rsidRPr="00C60A77">
              <w:rPr>
                <w:rFonts w:ascii="Times New Roman" w:hAnsi="Times New Roman" w:cs="Times New Roman"/>
                <w:sz w:val="20"/>
              </w:rPr>
              <w:t>w</w:t>
            </w:r>
            <w:r>
              <w:rPr>
                <w:rFonts w:ascii="Times New Roman" w:hAnsi="Times New Roman" w:cs="Times New Roman"/>
                <w:sz w:val="20"/>
              </w:rPr>
              <w:t> </w:t>
            </w:r>
            <w:r w:rsidRPr="00C60A77">
              <w:rPr>
                <w:rFonts w:ascii="Times New Roman" w:hAnsi="Times New Roman" w:cs="Times New Roman"/>
                <w:sz w:val="20"/>
              </w:rPr>
              <w:t>konsekwencji użyteczność wyników. Zaproponowany katalog kategorii danych i</w:t>
            </w:r>
            <w:r>
              <w:rPr>
                <w:rFonts w:ascii="Times New Roman" w:hAnsi="Times New Roman" w:cs="Times New Roman"/>
                <w:sz w:val="20"/>
              </w:rPr>
              <w:t> </w:t>
            </w:r>
            <w:r w:rsidRPr="00C60A77">
              <w:rPr>
                <w:rFonts w:ascii="Times New Roman" w:hAnsi="Times New Roman" w:cs="Times New Roman"/>
                <w:sz w:val="20"/>
              </w:rPr>
              <w:t xml:space="preserve">informacji stanowi w tym kontekście wyraz kompromisu pomiędzy różnymi racjami: potrzebą zapewnienia poprawności danych oraz użyteczności wyników, potrzebą dostarczania możliwie aktualnych informacji, dostępnością danych, obciążeniem obowiązkami informacyjnymi </w:t>
            </w:r>
            <w:r>
              <w:rPr>
                <w:rFonts w:ascii="Times New Roman" w:hAnsi="Times New Roman" w:cs="Times New Roman"/>
                <w:sz w:val="20"/>
              </w:rPr>
              <w:t>podmiotów</w:t>
            </w:r>
            <w:r w:rsidRPr="00C60A77">
              <w:rPr>
                <w:rFonts w:ascii="Times New Roman" w:hAnsi="Times New Roman" w:cs="Times New Roman"/>
                <w:sz w:val="20"/>
              </w:rPr>
              <w:t xml:space="preserve"> działających w</w:t>
            </w:r>
            <w:r>
              <w:rPr>
                <w:rFonts w:ascii="Times New Roman" w:hAnsi="Times New Roman" w:cs="Times New Roman"/>
                <w:sz w:val="20"/>
              </w:rPr>
              <w:t> </w:t>
            </w:r>
            <w:r w:rsidRPr="00C60A77">
              <w:rPr>
                <w:rFonts w:ascii="Times New Roman" w:hAnsi="Times New Roman" w:cs="Times New Roman"/>
                <w:sz w:val="20"/>
              </w:rPr>
              <w:t>systemie etc.</w:t>
            </w:r>
          </w:p>
          <w:p w14:paraId="3F529EDE" w14:textId="7F8FB188" w:rsidR="00F85687" w:rsidRPr="00A91B10" w:rsidRDefault="00F85687" w:rsidP="00F85687">
            <w:pPr>
              <w:spacing w:before="120" w:after="120"/>
              <w:jc w:val="both"/>
              <w:rPr>
                <w:rFonts w:ascii="Times New Roman" w:hAnsi="Times New Roman" w:cs="Times New Roman"/>
                <w:sz w:val="20"/>
                <w:szCs w:val="20"/>
              </w:rPr>
            </w:pPr>
            <w:r w:rsidRPr="00C60A77">
              <w:rPr>
                <w:rFonts w:ascii="Times New Roman" w:hAnsi="Times New Roman" w:cs="Times New Roman"/>
                <w:sz w:val="20"/>
              </w:rPr>
              <w:t xml:space="preserve">Wiele propozycji </w:t>
            </w:r>
            <w:r>
              <w:rPr>
                <w:rFonts w:ascii="Times New Roman" w:hAnsi="Times New Roman" w:cs="Times New Roman"/>
                <w:sz w:val="20"/>
              </w:rPr>
              <w:t>zgłaszanych przez Fundację i inne podmioty uczestniczące w uzgodnieniach</w:t>
            </w:r>
            <w:r w:rsidRPr="00C60A77">
              <w:rPr>
                <w:rFonts w:ascii="Times New Roman" w:hAnsi="Times New Roman" w:cs="Times New Roman"/>
                <w:sz w:val="20"/>
              </w:rPr>
              <w:t xml:space="preserve"> było rozważanych na</w:t>
            </w:r>
            <w:r>
              <w:rPr>
                <w:rFonts w:ascii="Times New Roman" w:hAnsi="Times New Roman" w:cs="Times New Roman"/>
                <w:sz w:val="20"/>
              </w:rPr>
              <w:t xml:space="preserve"> </w:t>
            </w:r>
            <w:r w:rsidRPr="00A91B10">
              <w:rPr>
                <w:rFonts w:ascii="Times New Roman" w:hAnsi="Times New Roman" w:cs="Times New Roman"/>
                <w:sz w:val="20"/>
                <w:szCs w:val="20"/>
              </w:rPr>
              <w:t xml:space="preserve">etapie prac koncepcyjnych nad systemem portalu prezentującego statystyki dotyczące cen transakcyjnych nieruchomości mieszkaniowych lub w toku dotychczasowego procesu legislacyjnego projektu ustawy. Motywy rezygnacji z uwzględnienia takich kategorii danych i informacji obejmowały </w:t>
            </w:r>
            <w:r>
              <w:rPr>
                <w:rFonts w:ascii="Times New Roman" w:hAnsi="Times New Roman" w:cs="Times New Roman"/>
                <w:sz w:val="20"/>
                <w:szCs w:val="20"/>
              </w:rPr>
              <w:t>np.</w:t>
            </w:r>
            <w:r w:rsidRPr="00A91B10">
              <w:rPr>
                <w:rFonts w:ascii="Times New Roman" w:hAnsi="Times New Roman" w:cs="Times New Roman"/>
                <w:sz w:val="20"/>
                <w:szCs w:val="20"/>
              </w:rPr>
              <w:t>:</w:t>
            </w:r>
          </w:p>
          <w:p w14:paraId="5FA56E15" w14:textId="4858787E" w:rsidR="00F85687" w:rsidRPr="00A91B10" w:rsidRDefault="00F85687" w:rsidP="00F85687">
            <w:pPr>
              <w:pStyle w:val="Akapitzlist"/>
              <w:numPr>
                <w:ilvl w:val="0"/>
                <w:numId w:val="17"/>
              </w:numPr>
              <w:spacing w:before="120" w:after="120"/>
              <w:contextualSpacing w:val="0"/>
              <w:jc w:val="both"/>
              <w:rPr>
                <w:rFonts w:ascii="Times New Roman" w:hAnsi="Times New Roman" w:cs="Times New Roman"/>
                <w:sz w:val="20"/>
                <w:szCs w:val="20"/>
              </w:rPr>
            </w:pPr>
            <w:r w:rsidRPr="00A91B10">
              <w:rPr>
                <w:rFonts w:ascii="Times New Roman" w:hAnsi="Times New Roman" w:cs="Times New Roman"/>
                <w:sz w:val="20"/>
                <w:szCs w:val="20"/>
              </w:rPr>
              <w:t>związane z daną kategorią trudności w parametryzowaniu (trudności w zapewnieniu odpowiedniej porównywalności danych, a w konsekwencji użyteczności i wiarygodności statystyk)</w:t>
            </w:r>
            <w:r w:rsidR="007D627E">
              <w:rPr>
                <w:rFonts w:ascii="Times New Roman" w:hAnsi="Times New Roman" w:cs="Times New Roman"/>
                <w:sz w:val="20"/>
                <w:szCs w:val="20"/>
              </w:rPr>
              <w:t>,</w:t>
            </w:r>
            <w:r w:rsidRPr="00A91B10">
              <w:rPr>
                <w:rFonts w:ascii="Times New Roman" w:hAnsi="Times New Roman" w:cs="Times New Roman"/>
                <w:sz w:val="20"/>
                <w:szCs w:val="20"/>
              </w:rPr>
              <w:t xml:space="preserve"> jak ma to miejsce np. w przypadku</w:t>
            </w:r>
            <w:r>
              <w:rPr>
                <w:rFonts w:ascii="Times New Roman" w:hAnsi="Times New Roman" w:cs="Times New Roman"/>
                <w:sz w:val="20"/>
                <w:szCs w:val="20"/>
              </w:rPr>
              <w:t xml:space="preserve"> </w:t>
            </w:r>
            <w:r w:rsidRPr="00A91B10">
              <w:rPr>
                <w:rFonts w:ascii="Times New Roman" w:hAnsi="Times New Roman" w:cs="Times New Roman"/>
                <w:sz w:val="20"/>
                <w:szCs w:val="20"/>
              </w:rPr>
              <w:t>standard</w:t>
            </w:r>
            <w:r>
              <w:rPr>
                <w:rFonts w:ascii="Times New Roman" w:hAnsi="Times New Roman" w:cs="Times New Roman"/>
                <w:sz w:val="20"/>
                <w:szCs w:val="20"/>
              </w:rPr>
              <w:t>u</w:t>
            </w:r>
            <w:r w:rsidRPr="00A91B10">
              <w:rPr>
                <w:rFonts w:ascii="Times New Roman" w:hAnsi="Times New Roman" w:cs="Times New Roman"/>
                <w:sz w:val="20"/>
                <w:szCs w:val="20"/>
              </w:rPr>
              <w:t xml:space="preserve"> mieszkania,</w:t>
            </w:r>
          </w:p>
          <w:p w14:paraId="687D07C0" w14:textId="4A36BC55" w:rsidR="00F85687" w:rsidRPr="00A91B10" w:rsidRDefault="00F85687" w:rsidP="00F85687">
            <w:pPr>
              <w:pStyle w:val="Akapitzlist"/>
              <w:numPr>
                <w:ilvl w:val="0"/>
                <w:numId w:val="17"/>
              </w:numPr>
              <w:spacing w:before="120" w:after="120"/>
              <w:contextualSpacing w:val="0"/>
              <w:jc w:val="both"/>
              <w:rPr>
                <w:rFonts w:ascii="Times New Roman" w:hAnsi="Times New Roman" w:cs="Times New Roman"/>
                <w:color w:val="0070C0"/>
                <w:sz w:val="20"/>
                <w:szCs w:val="20"/>
                <w:u w:val="single"/>
              </w:rPr>
            </w:pPr>
            <w:r w:rsidRPr="00A91B10">
              <w:rPr>
                <w:rFonts w:ascii="Times New Roman" w:hAnsi="Times New Roman" w:cs="Times New Roman"/>
                <w:sz w:val="20"/>
                <w:szCs w:val="20"/>
              </w:rPr>
              <w:t xml:space="preserve">brak dostępu do danej kategorii danych, jak ma to miejsce w przypadku roku </w:t>
            </w:r>
            <w:r>
              <w:rPr>
                <w:rFonts w:ascii="Times New Roman" w:hAnsi="Times New Roman" w:cs="Times New Roman"/>
                <w:sz w:val="20"/>
                <w:szCs w:val="20"/>
              </w:rPr>
              <w:t xml:space="preserve">zakończenia </w:t>
            </w:r>
            <w:r w:rsidRPr="00A91B10">
              <w:rPr>
                <w:rFonts w:ascii="Times New Roman" w:hAnsi="Times New Roman" w:cs="Times New Roman"/>
                <w:sz w:val="20"/>
                <w:szCs w:val="20"/>
              </w:rPr>
              <w:t>budowy</w:t>
            </w:r>
            <w:r w:rsidR="00415944">
              <w:rPr>
                <w:rFonts w:ascii="Times New Roman" w:hAnsi="Times New Roman" w:cs="Times New Roman"/>
                <w:sz w:val="20"/>
                <w:szCs w:val="20"/>
              </w:rPr>
              <w:t xml:space="preserve"> (w części przypadków)</w:t>
            </w:r>
            <w:r w:rsidRPr="00A91B10">
              <w:rPr>
                <w:rFonts w:ascii="Times New Roman" w:hAnsi="Times New Roman" w:cs="Times New Roman"/>
                <w:sz w:val="20"/>
                <w:szCs w:val="20"/>
              </w:rPr>
              <w:t xml:space="preserve"> oraz (poza nieruchomościami objętymi obowiązkiem zgłaszania do Ewidencji Deweloperskiego Funduszu Gwarancyjnego) n</w:t>
            </w:r>
            <w:r>
              <w:rPr>
                <w:rFonts w:ascii="Times New Roman" w:hAnsi="Times New Roman" w:cs="Times New Roman"/>
                <w:sz w:val="20"/>
                <w:szCs w:val="20"/>
              </w:rPr>
              <w:t>umeru</w:t>
            </w:r>
            <w:r w:rsidRPr="00A91B10">
              <w:rPr>
                <w:rFonts w:ascii="Times New Roman" w:hAnsi="Times New Roman" w:cs="Times New Roman"/>
                <w:sz w:val="20"/>
                <w:szCs w:val="20"/>
              </w:rPr>
              <w:t xml:space="preserve"> kondygnacji.</w:t>
            </w:r>
          </w:p>
          <w:p w14:paraId="25355319" w14:textId="6B9199A9" w:rsidR="00F85687" w:rsidRPr="00C60A77" w:rsidRDefault="00F85687" w:rsidP="00F85687">
            <w:pPr>
              <w:spacing w:before="120" w:after="120"/>
              <w:jc w:val="both"/>
              <w:rPr>
                <w:rFonts w:ascii="Times New Roman" w:hAnsi="Times New Roman" w:cs="Times New Roman"/>
                <w:sz w:val="20"/>
              </w:rPr>
            </w:pPr>
            <w:r w:rsidRPr="00C60A77">
              <w:rPr>
                <w:rFonts w:ascii="Times New Roman" w:hAnsi="Times New Roman" w:cs="Times New Roman"/>
                <w:sz w:val="20"/>
              </w:rPr>
              <w:t>Wydaje się</w:t>
            </w:r>
            <w:r>
              <w:rPr>
                <w:rFonts w:ascii="Times New Roman" w:hAnsi="Times New Roman" w:cs="Times New Roman"/>
                <w:sz w:val="20"/>
              </w:rPr>
              <w:t xml:space="preserve"> ponadto</w:t>
            </w:r>
            <w:r w:rsidRPr="00C60A77">
              <w:rPr>
                <w:rFonts w:ascii="Times New Roman" w:hAnsi="Times New Roman" w:cs="Times New Roman"/>
                <w:sz w:val="20"/>
              </w:rPr>
              <w:t>, że część proponowanych</w:t>
            </w:r>
            <w:r>
              <w:rPr>
                <w:rFonts w:ascii="Times New Roman" w:hAnsi="Times New Roman" w:cs="Times New Roman"/>
                <w:sz w:val="20"/>
              </w:rPr>
              <w:t xml:space="preserve"> przez uczestników uzgodnień</w:t>
            </w:r>
            <w:r w:rsidRPr="00C60A77">
              <w:rPr>
                <w:rFonts w:ascii="Times New Roman" w:hAnsi="Times New Roman" w:cs="Times New Roman"/>
                <w:sz w:val="20"/>
              </w:rPr>
              <w:t xml:space="preserve"> kategorii ma walor uzupełniający w kontekście podstawowych celów </w:t>
            </w:r>
            <w:r w:rsidRPr="00C60A77">
              <w:rPr>
                <w:rFonts w:ascii="Times New Roman" w:hAnsi="Times New Roman" w:cs="Times New Roman"/>
                <w:sz w:val="20"/>
              </w:rPr>
              <w:lastRenderedPageBreak/>
              <w:t xml:space="preserve">działania Portalu (także walor uzupełniający dla użytkownika Portalu). </w:t>
            </w:r>
          </w:p>
          <w:p w14:paraId="09C19EF5" w14:textId="77777777" w:rsidR="00F85687" w:rsidRPr="00C60A77" w:rsidRDefault="00F85687" w:rsidP="00F85687">
            <w:pPr>
              <w:spacing w:before="120" w:after="120"/>
              <w:jc w:val="both"/>
              <w:rPr>
                <w:rFonts w:ascii="Times New Roman" w:hAnsi="Times New Roman" w:cs="Times New Roman"/>
                <w:sz w:val="20"/>
              </w:rPr>
            </w:pPr>
            <w:r w:rsidRPr="00C60A77">
              <w:rPr>
                <w:rFonts w:ascii="Times New Roman" w:hAnsi="Times New Roman" w:cs="Times New Roman"/>
                <w:sz w:val="20"/>
              </w:rPr>
              <w:t>Niezależnie od powyższego:</w:t>
            </w:r>
          </w:p>
          <w:p w14:paraId="77BAC819" w14:textId="77777777" w:rsidR="00F85687" w:rsidRPr="00A91B10" w:rsidRDefault="00F85687" w:rsidP="00EE0BDA">
            <w:pPr>
              <w:pStyle w:val="Akapitzlist"/>
              <w:numPr>
                <w:ilvl w:val="0"/>
                <w:numId w:val="21"/>
              </w:numPr>
              <w:spacing w:before="120" w:after="120"/>
              <w:contextualSpacing w:val="0"/>
              <w:jc w:val="both"/>
              <w:rPr>
                <w:rFonts w:ascii="Times New Roman" w:hAnsi="Times New Roman" w:cs="Times New Roman"/>
                <w:sz w:val="20"/>
                <w:szCs w:val="20"/>
              </w:rPr>
            </w:pPr>
            <w:r w:rsidRPr="00A91B10">
              <w:rPr>
                <w:rFonts w:ascii="Times New Roman" w:hAnsi="Times New Roman" w:cs="Times New Roman"/>
                <w:sz w:val="20"/>
                <w:szCs w:val="20"/>
              </w:rPr>
              <w:t>podstawowym celem uruchomienia Portalu jest zapewnienie osobie szukającej mieszkania aktualnych i wiarygodnych informacji o cenach nieruchomości mieszkaniowych (umożliwienie porównania cen w interesującej ją okolicy i tym samym ułatwienie jej wyboru korzystnej dla niej oferty), a dopiero w dalszej kolejności ułatwienie organom publicznym realizacji zadań z zakresu polityki mieszkaniowej;</w:t>
            </w:r>
          </w:p>
          <w:p w14:paraId="539B69D5" w14:textId="302D0B5D" w:rsidR="00F85687" w:rsidRDefault="00F85687" w:rsidP="00EE0BDA">
            <w:pPr>
              <w:pStyle w:val="Akapitzlist"/>
              <w:numPr>
                <w:ilvl w:val="0"/>
                <w:numId w:val="21"/>
              </w:numPr>
              <w:spacing w:before="120" w:after="120"/>
              <w:ind w:left="357" w:hanging="357"/>
              <w:contextualSpacing w:val="0"/>
              <w:jc w:val="both"/>
              <w:rPr>
                <w:rFonts w:ascii="Times New Roman" w:hAnsi="Times New Roman" w:cs="Times New Roman"/>
                <w:sz w:val="20"/>
                <w:szCs w:val="20"/>
              </w:rPr>
            </w:pPr>
            <w:r w:rsidRPr="00A91B10">
              <w:rPr>
                <w:rFonts w:ascii="Times New Roman" w:hAnsi="Times New Roman" w:cs="Times New Roman"/>
                <w:sz w:val="20"/>
                <w:szCs w:val="20"/>
              </w:rPr>
              <w:t xml:space="preserve">każda propozycja kategorii danych powinna być rozważana przez pryzmat użyteczności, tj. czy stanowi wartość dodaną dla celów </w:t>
            </w:r>
            <w:r w:rsidR="007D627E">
              <w:rPr>
                <w:rFonts w:ascii="Times New Roman" w:hAnsi="Times New Roman" w:cs="Times New Roman"/>
                <w:sz w:val="20"/>
                <w:szCs w:val="20"/>
              </w:rPr>
              <w:t>P</w:t>
            </w:r>
            <w:r w:rsidRPr="00A91B10">
              <w:rPr>
                <w:rFonts w:ascii="Times New Roman" w:hAnsi="Times New Roman" w:cs="Times New Roman"/>
                <w:sz w:val="20"/>
                <w:szCs w:val="20"/>
              </w:rPr>
              <w:t xml:space="preserve">ortalu (w szczególności dla użytkownika </w:t>
            </w:r>
            <w:r w:rsidR="007D627E">
              <w:rPr>
                <w:rFonts w:ascii="Times New Roman" w:hAnsi="Times New Roman" w:cs="Times New Roman"/>
                <w:sz w:val="20"/>
                <w:szCs w:val="20"/>
              </w:rPr>
              <w:t>P</w:t>
            </w:r>
            <w:r w:rsidRPr="00A91B10">
              <w:rPr>
                <w:rFonts w:ascii="Times New Roman" w:hAnsi="Times New Roman" w:cs="Times New Roman"/>
                <w:sz w:val="20"/>
                <w:szCs w:val="20"/>
              </w:rPr>
              <w:t>ortalu)</w:t>
            </w:r>
            <w:r>
              <w:rPr>
                <w:rFonts w:ascii="Times New Roman" w:hAnsi="Times New Roman" w:cs="Times New Roman"/>
                <w:sz w:val="20"/>
                <w:szCs w:val="20"/>
              </w:rPr>
              <w:t xml:space="preserve"> oraz adekwatności użyteczności do wprowadzanego obciążenia</w:t>
            </w:r>
            <w:r w:rsidRPr="00A91B10">
              <w:rPr>
                <w:rFonts w:ascii="Times New Roman" w:hAnsi="Times New Roman" w:cs="Times New Roman"/>
                <w:sz w:val="20"/>
                <w:szCs w:val="20"/>
              </w:rPr>
              <w:t>;</w:t>
            </w:r>
          </w:p>
          <w:p w14:paraId="51F39A42" w14:textId="13EF8D4C" w:rsidR="00F85687" w:rsidRPr="000B4D66" w:rsidRDefault="00F85687" w:rsidP="00EE0BDA">
            <w:pPr>
              <w:pStyle w:val="Akapitzlist"/>
              <w:numPr>
                <w:ilvl w:val="0"/>
                <w:numId w:val="21"/>
              </w:numPr>
              <w:spacing w:before="120" w:after="120"/>
              <w:ind w:left="357" w:hanging="357"/>
              <w:contextualSpacing w:val="0"/>
              <w:jc w:val="both"/>
              <w:rPr>
                <w:rFonts w:ascii="Times New Roman" w:hAnsi="Times New Roman" w:cs="Times New Roman"/>
                <w:sz w:val="20"/>
                <w:szCs w:val="20"/>
              </w:rPr>
            </w:pPr>
            <w:r w:rsidRPr="000B4D66">
              <w:rPr>
                <w:rFonts w:ascii="Times New Roman" w:hAnsi="Times New Roman" w:cs="Times New Roman"/>
                <w:sz w:val="20"/>
                <w:szCs w:val="20"/>
              </w:rPr>
              <w:t>każda dodawana kategoria zmniejsza użyteczność Portalu (zwiększenie liczby zmiennych branych pod uwagę może w niektórych – np. generujących mniejszą liczbę transakcji – lokalizacjach uniemożliwiać wyświetlenie wyniku).</w:t>
            </w:r>
          </w:p>
        </w:tc>
      </w:tr>
      <w:tr w:rsidR="00F85687" w:rsidRPr="00FF4480" w14:paraId="0E2A8B3F" w14:textId="77777777" w:rsidTr="00E9565F">
        <w:trPr>
          <w:jc w:val="center"/>
        </w:trPr>
        <w:tc>
          <w:tcPr>
            <w:tcW w:w="554" w:type="dxa"/>
          </w:tcPr>
          <w:p w14:paraId="7C5D57B2"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3FA4C97" w14:textId="5D8C139F" w:rsidR="00F85687" w:rsidRDefault="00F85687" w:rsidP="00F85687">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5458F952" w14:textId="0A677E09" w:rsidR="00F85687" w:rsidRDefault="00F85687" w:rsidP="00F85687">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zakresie art. 56a ust. 3</w:t>
            </w:r>
          </w:p>
        </w:tc>
        <w:tc>
          <w:tcPr>
            <w:tcW w:w="5670" w:type="dxa"/>
            <w:vAlign w:val="center"/>
          </w:tcPr>
          <w:p w14:paraId="5F3BAB78" w14:textId="77777777" w:rsidR="00F85687" w:rsidRPr="00406800"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t>Brak daty oddania budynku do użytkowania w zbieranych danych</w:t>
            </w:r>
          </w:p>
          <w:p w14:paraId="0F2DFD81" w14:textId="77777777" w:rsidR="00F85687" w:rsidRPr="00406800"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t>Dane Ewidencji DFG dotyczą głównie inwestycji nowobudowanych. Jeśli jednak pozyskiwane będą szersze dane od innych profesjonalnych podmiotów oraz od Szefa KAS, mieszkania i domy mogą być znacznie bardziej zróżnicowane. Powstanie zatem problem rozróżnienia rynku pierwotnego i wtórnego – w obecnych statystykach GUS, opartych na danych z RCN, rozróżnia się sprzedających na osoby fizyczne (rynek wtórny) oraz inne podmioty (rynek pierwotny).</w:t>
            </w:r>
          </w:p>
          <w:p w14:paraId="7461AF07" w14:textId="577877CC" w:rsidR="00F85687" w:rsidRPr="00AB59AA"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lastRenderedPageBreak/>
              <w:t>Łatwiejszym rozwiązaniem byłoby wskazanie daty oddania budynku do użytkowania, co jest związane z obowiązującymi standardami technicznymi. Informacja ta ma istotny wpływ na cenę nieruchomości, szczególnie w przypadku domów, ale także mieszkań, które mogą wymagać znacznych nakładów na remonty. Jest to kluczowa informacja dla ubezpieczycieli nieruchomości.</w:t>
            </w:r>
          </w:p>
        </w:tc>
        <w:tc>
          <w:tcPr>
            <w:tcW w:w="4160" w:type="dxa"/>
          </w:tcPr>
          <w:p w14:paraId="76AE03DC" w14:textId="77777777" w:rsidR="00F85687" w:rsidRPr="00A21099" w:rsidRDefault="00F85687" w:rsidP="00F85687">
            <w:pPr>
              <w:spacing w:before="120" w:after="120"/>
              <w:jc w:val="both"/>
              <w:rPr>
                <w:rFonts w:ascii="Times New Roman" w:hAnsi="Times New Roman" w:cs="Times New Roman"/>
                <w:b/>
                <w:bCs/>
                <w:sz w:val="20"/>
              </w:rPr>
            </w:pPr>
            <w:r w:rsidRPr="00A21099">
              <w:rPr>
                <w:rFonts w:ascii="Times New Roman" w:hAnsi="Times New Roman" w:cs="Times New Roman"/>
                <w:b/>
                <w:bCs/>
                <w:sz w:val="20"/>
              </w:rPr>
              <w:lastRenderedPageBreak/>
              <w:t>Uwaga nieuwzględniona</w:t>
            </w:r>
          </w:p>
          <w:p w14:paraId="1580EDAC" w14:textId="7D25E82B" w:rsidR="00F85687" w:rsidRPr="00CC7685" w:rsidRDefault="00F85687" w:rsidP="00F85687">
            <w:pPr>
              <w:spacing w:before="120" w:after="120"/>
              <w:jc w:val="both"/>
              <w:rPr>
                <w:rFonts w:ascii="Times New Roman" w:hAnsi="Times New Roman" w:cs="Times New Roman"/>
                <w:sz w:val="20"/>
              </w:rPr>
            </w:pPr>
            <w:r>
              <w:rPr>
                <w:rFonts w:ascii="Times New Roman" w:hAnsi="Times New Roman" w:cs="Times New Roman"/>
                <w:sz w:val="20"/>
              </w:rPr>
              <w:t>W tym kontekście aktualne pozostają dotychczasowe wyjaśnienia w przedmiocie katalogu danych i informacji gromadzonych w ramach prowadzenia Portalu DOM, przedstawione w odpowiedzi na uwagę Fundacji zatytułowaną „</w:t>
            </w:r>
            <w:r w:rsidRPr="008C3985">
              <w:rPr>
                <w:rFonts w:ascii="Times New Roman" w:hAnsi="Times New Roman" w:cs="Times New Roman"/>
                <w:sz w:val="20"/>
              </w:rPr>
              <w:t>Brak powiązania ze świadectwem efektywności energetycznej</w:t>
            </w:r>
            <w:r>
              <w:rPr>
                <w:rFonts w:ascii="Times New Roman" w:hAnsi="Times New Roman" w:cs="Times New Roman"/>
                <w:sz w:val="20"/>
              </w:rPr>
              <w:t>”.</w:t>
            </w:r>
          </w:p>
        </w:tc>
      </w:tr>
      <w:tr w:rsidR="00F85687" w:rsidRPr="00FF4480" w14:paraId="58A7BE59" w14:textId="77777777" w:rsidTr="00E9565F">
        <w:trPr>
          <w:jc w:val="center"/>
        </w:trPr>
        <w:tc>
          <w:tcPr>
            <w:tcW w:w="554" w:type="dxa"/>
          </w:tcPr>
          <w:p w14:paraId="112CA65D"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8F6F348" w14:textId="3AFC645E" w:rsidR="00F85687" w:rsidRDefault="00F85687" w:rsidP="00F85687">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34E00585" w14:textId="7FA33213" w:rsidR="00F85687" w:rsidRDefault="00F85687" w:rsidP="00F85687">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zakresie art. 56a ust. 3</w:t>
            </w:r>
          </w:p>
        </w:tc>
        <w:tc>
          <w:tcPr>
            <w:tcW w:w="5670" w:type="dxa"/>
            <w:vAlign w:val="center"/>
          </w:tcPr>
          <w:p w14:paraId="154F516E" w14:textId="54934200" w:rsidR="00F85687" w:rsidRPr="00406800"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t>Brak informacji o konieczności przeprowadzenia remontu</w:t>
            </w:r>
          </w:p>
          <w:p w14:paraId="0676FBD1" w14:textId="3391FA59" w:rsidR="00F85687" w:rsidRPr="00406800"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t>W przypadku wielu mieszkań na rynku wtórnym, szczególnie tych w kamienicach oraz domów jednorodzinnych, coraz częściej wymagane są znaczące inwestycje, zwłaszcza w zakresie wymiany źródła ogrzewania oraz szerszej termomodernizacji. Tego typu informacje są zazwyczaj zawarte w aktach notarialnych sprzedaży, ponieważ mogą stanowić uzasadnienie dla ceny nieruchomości niższej od rynkowej. Niektóre starostwa uwzględniają te dane w</w:t>
            </w:r>
            <w:r>
              <w:rPr>
                <w:rFonts w:ascii="Times New Roman" w:hAnsi="Times New Roman" w:cs="Times New Roman"/>
                <w:sz w:val="20"/>
              </w:rPr>
              <w:t> </w:t>
            </w:r>
            <w:r w:rsidRPr="00406800">
              <w:rPr>
                <w:rFonts w:ascii="Times New Roman" w:hAnsi="Times New Roman" w:cs="Times New Roman"/>
                <w:sz w:val="20"/>
              </w:rPr>
              <w:t>swoich rejestrach, co jest istotne dla rzeczoznawców majątkowych.</w:t>
            </w:r>
          </w:p>
          <w:p w14:paraId="76C49F40" w14:textId="3089DC80" w:rsidR="00F85687" w:rsidRPr="009364E6" w:rsidRDefault="00F85687" w:rsidP="00F85687">
            <w:pPr>
              <w:spacing w:before="120" w:after="120"/>
              <w:jc w:val="both"/>
              <w:rPr>
                <w:rFonts w:ascii="Times New Roman" w:hAnsi="Times New Roman" w:cs="Times New Roman"/>
                <w:sz w:val="20"/>
              </w:rPr>
            </w:pPr>
            <w:r w:rsidRPr="00406800">
              <w:rPr>
                <w:rFonts w:ascii="Times New Roman" w:hAnsi="Times New Roman" w:cs="Times New Roman"/>
                <w:sz w:val="20"/>
              </w:rPr>
              <w:t>Obecnie formularze przekazywane przez notariuszy nie przewidują miejsca na takie informacje, jednak można je zdobyć z innych źródeł. Warto rozważyć możliwość uwzględnienia tych danych przy przyszłych korektach cen nieruchomości do remontu, co mogłoby wpłynąć na wyliczane średnie lub mediany w Portalu DOM.</w:t>
            </w:r>
          </w:p>
        </w:tc>
        <w:tc>
          <w:tcPr>
            <w:tcW w:w="4160" w:type="dxa"/>
          </w:tcPr>
          <w:p w14:paraId="6E9675D2" w14:textId="77777777" w:rsidR="00F85687" w:rsidRPr="00A21099" w:rsidRDefault="00F85687" w:rsidP="00F85687">
            <w:pPr>
              <w:spacing w:before="120" w:after="120"/>
              <w:jc w:val="both"/>
              <w:rPr>
                <w:rFonts w:ascii="Times New Roman" w:hAnsi="Times New Roman" w:cs="Times New Roman"/>
                <w:b/>
                <w:bCs/>
                <w:sz w:val="20"/>
              </w:rPr>
            </w:pPr>
            <w:r w:rsidRPr="00A21099">
              <w:rPr>
                <w:rFonts w:ascii="Times New Roman" w:hAnsi="Times New Roman" w:cs="Times New Roman"/>
                <w:b/>
                <w:bCs/>
                <w:sz w:val="20"/>
              </w:rPr>
              <w:t>Uwaga nieuwzględniona</w:t>
            </w:r>
          </w:p>
          <w:p w14:paraId="787C6E7E" w14:textId="350DDA69" w:rsidR="00F85687" w:rsidRPr="00EA7F10" w:rsidRDefault="00F85687" w:rsidP="00F85687">
            <w:pPr>
              <w:spacing w:before="120" w:after="120"/>
              <w:jc w:val="both"/>
              <w:rPr>
                <w:rFonts w:ascii="Times New Roman" w:hAnsi="Times New Roman" w:cs="Times New Roman"/>
                <w:sz w:val="20"/>
              </w:rPr>
            </w:pPr>
            <w:r>
              <w:rPr>
                <w:rFonts w:ascii="Times New Roman" w:hAnsi="Times New Roman" w:cs="Times New Roman"/>
                <w:sz w:val="20"/>
              </w:rPr>
              <w:t>W tym kontekście aktualne pozostają dotychczasowe wyjaśnienia w przedmiocie katalogu danych i informacji gromadzonych w ramach prowadzenia Portalu DOM, przedstawione w odpowiedzi na uwagę Fundacji zatytułowaną „</w:t>
            </w:r>
            <w:r w:rsidRPr="008C3985">
              <w:rPr>
                <w:rFonts w:ascii="Times New Roman" w:hAnsi="Times New Roman" w:cs="Times New Roman"/>
                <w:sz w:val="20"/>
              </w:rPr>
              <w:t>Brak powiązania ze świadectwem efektywności energetycznej</w:t>
            </w:r>
            <w:r>
              <w:rPr>
                <w:rFonts w:ascii="Times New Roman" w:hAnsi="Times New Roman" w:cs="Times New Roman"/>
                <w:sz w:val="20"/>
              </w:rPr>
              <w:t>”.</w:t>
            </w:r>
          </w:p>
        </w:tc>
      </w:tr>
      <w:tr w:rsidR="00F85687" w:rsidRPr="00FF4480" w14:paraId="3F2FB261" w14:textId="77777777" w:rsidTr="00E9565F">
        <w:trPr>
          <w:jc w:val="center"/>
        </w:trPr>
        <w:tc>
          <w:tcPr>
            <w:tcW w:w="554" w:type="dxa"/>
          </w:tcPr>
          <w:p w14:paraId="56CED56E"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7DEC1D0" w14:textId="0EBB2C6F" w:rsidR="00F85687" w:rsidRPr="00406800" w:rsidRDefault="00F85687" w:rsidP="00F85687">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17BE3523" w14:textId="642E7CF3" w:rsidR="00F85687" w:rsidRPr="00406800" w:rsidRDefault="00F85687" w:rsidP="00F85687">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 xml:space="preserve">zakresie art. 56a ust. </w:t>
            </w:r>
            <w:r>
              <w:rPr>
                <w:rFonts w:ascii="Times New Roman" w:hAnsi="Times New Roman" w:cs="Times New Roman"/>
                <w:sz w:val="20"/>
              </w:rPr>
              <w:t>3</w:t>
            </w:r>
          </w:p>
        </w:tc>
        <w:tc>
          <w:tcPr>
            <w:tcW w:w="5670" w:type="dxa"/>
            <w:vAlign w:val="center"/>
          </w:tcPr>
          <w:p w14:paraId="6EDA664C" w14:textId="77777777" w:rsidR="00F85687" w:rsidRPr="009C1A83" w:rsidRDefault="00F85687" w:rsidP="00F85687">
            <w:pPr>
              <w:spacing w:before="120" w:after="120"/>
              <w:jc w:val="both"/>
              <w:rPr>
                <w:rFonts w:ascii="Times New Roman" w:hAnsi="Times New Roman" w:cs="Times New Roman"/>
                <w:sz w:val="20"/>
              </w:rPr>
            </w:pPr>
            <w:r w:rsidRPr="009C1A83">
              <w:rPr>
                <w:rFonts w:ascii="Times New Roman" w:hAnsi="Times New Roman" w:cs="Times New Roman"/>
                <w:sz w:val="20"/>
              </w:rPr>
              <w:t xml:space="preserve">Proponowane brzmienie art. 56a ust. 3 pkt 2 lit. g – w części, w której posługuje się pojęciem „liczby pokoi” przeczy zasadzie należytej i starannej legislacji. Obowiązujące przepisy nie definiują pojęcia „pokoju” Przepisy ustawy z dnia 24 czerwca 1994 r. o własności lokali, które regulują zagadnienia dotyczące powstawania odrębnej własności lokali oraz rozporządzenia Ministra Rozwoju, Pracy i Technologii z dnia 27 lipca 2021 r. w sprawie ewidencji gruntów i budynków, a także rozporządzenia Ministra Sprawiedliwości z dnia 15 lutego 2016 r. w sprawie zakładania i prowadzenia ksiąg wieczystych w systemie teleinformatycznym posługują się pojęciem „izby”, do której to kategorii zalicza się też np. kuchnię. Pojęcie „pokoju” obce jest również przepisom ustawy z dnia 17 maja 1989 r. - Prawo geodezyjne i kartograficzne. Zaproponowane rozwiązanie wprowadza chaos i powoduje, że każdy podmiot raportujący do Portalu DOM będzie indywidualnie definiował, czym jest pokój (np. </w:t>
            </w:r>
            <w:r w:rsidRPr="009C1A83">
              <w:rPr>
                <w:rFonts w:ascii="Times New Roman" w:hAnsi="Times New Roman" w:cs="Times New Roman"/>
                <w:sz w:val="20"/>
              </w:rPr>
              <w:lastRenderedPageBreak/>
              <w:t>to samo pomieszczenie łączące funkcje pokoju i kuchni można uznać za dużą kuchnię albo za pokój z aneksem kuchennym). W żadnym rejestrze publicznym nie gromadzi się danych na temat liczby pokoi. Informacja w tym zakresie oparta byłaby wyłącznie na oświadczeniach stron i byłaby zupełnie nieweryfikowalna. Nierzadko zdarza się, że strony czynności notarialnych nie są pewne liczby pokoi, gdy posiadają kilka mieszkań albo nie mają na ten temat wiedzy, co zdarza się często w sytuacji, gdy osoba przebywająca za granicą zbywa odziedziczone mieszkanie. Ponadto strony mogą odmówić przekazania notariuszowi prawdziwych danych co do liczby pokoi np. w przypadku przebudowy wnętrza lokalu.</w:t>
            </w:r>
          </w:p>
          <w:p w14:paraId="40C2A9CA" w14:textId="77777777" w:rsidR="00F85687" w:rsidRDefault="00F85687" w:rsidP="00F85687">
            <w:pPr>
              <w:spacing w:before="120" w:after="120"/>
              <w:jc w:val="both"/>
              <w:rPr>
                <w:rFonts w:ascii="Times New Roman" w:hAnsi="Times New Roman" w:cs="Times New Roman"/>
                <w:sz w:val="20"/>
              </w:rPr>
            </w:pPr>
            <w:r w:rsidRPr="009C1A83">
              <w:rPr>
                <w:rFonts w:ascii="Times New Roman" w:hAnsi="Times New Roman" w:cs="Times New Roman"/>
                <w:sz w:val="20"/>
              </w:rPr>
              <w:t xml:space="preserve">Skoro celem prowadzenia Portalu DOM jest, między innymi – „…wzmocnienie ochrony nabywców mieszkań oraz ułatwienie podmiotom profesjonalnym planowania i parametryzowania inwestycji mieszkaniowych…”, to bez odpowiedzi pozostaje pytanie czy zmiany w Portalu Dom, odnoszące się do rynku wtórnego, mają być zgłaszane również w tzw. „międzyczasie”, </w:t>
            </w:r>
            <w:proofErr w:type="spellStart"/>
            <w:r w:rsidRPr="009C1A83">
              <w:rPr>
                <w:rFonts w:ascii="Times New Roman" w:hAnsi="Times New Roman" w:cs="Times New Roman"/>
                <w:sz w:val="20"/>
              </w:rPr>
              <w:t>tzn</w:t>
            </w:r>
            <w:proofErr w:type="spellEnd"/>
            <w:r w:rsidRPr="009C1A83">
              <w:rPr>
                <w:rFonts w:ascii="Times New Roman" w:hAnsi="Times New Roman" w:cs="Times New Roman"/>
                <w:sz w:val="20"/>
              </w:rPr>
              <w:t>, gdy właściciel lokalu/domu dokonuje kilkukrotnie jego przebudowy, a do zbycia lokalu/domu mieszkalnego dochodzi już po którejś z rzędu modernizacji i zmianie liczby pokoi? Czy ta okoliczność jest bez znaczenia czy też może, tak jak w przypadku zmiany właściciela nieruchomości np. wskutek dziedziczenia, to właśnie właściciel powinien zgłosić fakt przebudowy do instytucji uprawnionej do dokonywania wpisów do Portalu DOM.</w:t>
            </w:r>
          </w:p>
          <w:p w14:paraId="77093AC1" w14:textId="37DA3236" w:rsidR="00F85687" w:rsidRPr="00406800" w:rsidRDefault="00F85687" w:rsidP="00F85687">
            <w:pPr>
              <w:spacing w:before="120" w:after="120"/>
              <w:jc w:val="both"/>
              <w:rPr>
                <w:rFonts w:ascii="Times New Roman" w:hAnsi="Times New Roman" w:cs="Times New Roman"/>
                <w:sz w:val="20"/>
              </w:rPr>
            </w:pPr>
            <w:r w:rsidRPr="009C1A83">
              <w:rPr>
                <w:rFonts w:ascii="Times New Roman" w:hAnsi="Times New Roman" w:cs="Times New Roman"/>
                <w:sz w:val="20"/>
              </w:rPr>
              <w:t>W takim stanie rzeczy ujawnianie w Portalu DOM liczby pokoi doprowadzi do masowego wprowadzania sprzecznych ze sobą danych, a zatem zaprzeczy funkcji Portalu jako źródła wiarygodnej wiedzy.</w:t>
            </w:r>
          </w:p>
        </w:tc>
        <w:tc>
          <w:tcPr>
            <w:tcW w:w="4160" w:type="dxa"/>
          </w:tcPr>
          <w:p w14:paraId="5286282D" w14:textId="77777777" w:rsidR="00F85687" w:rsidRPr="00AF70D0" w:rsidRDefault="00AF70D0" w:rsidP="00F85687">
            <w:pPr>
              <w:spacing w:before="120" w:after="120"/>
              <w:jc w:val="both"/>
              <w:rPr>
                <w:rFonts w:ascii="Times New Roman" w:hAnsi="Times New Roman" w:cs="Times New Roman"/>
                <w:sz w:val="20"/>
                <w:u w:val="single"/>
              </w:rPr>
            </w:pPr>
            <w:r w:rsidRPr="00AF70D0">
              <w:rPr>
                <w:rFonts w:ascii="Times New Roman" w:hAnsi="Times New Roman" w:cs="Times New Roman"/>
                <w:sz w:val="20"/>
                <w:u w:val="single"/>
              </w:rPr>
              <w:lastRenderedPageBreak/>
              <w:t>Komentarz do uwagi</w:t>
            </w:r>
          </w:p>
          <w:p w14:paraId="429C4D42" w14:textId="0339354A" w:rsidR="00AF70D0" w:rsidRDefault="00AF70D0" w:rsidP="00F85687">
            <w:pPr>
              <w:spacing w:before="120" w:after="120"/>
              <w:jc w:val="both"/>
              <w:rPr>
                <w:rFonts w:ascii="Times New Roman" w:hAnsi="Times New Roman" w:cs="Times New Roman"/>
                <w:sz w:val="20"/>
              </w:rPr>
            </w:pPr>
            <w:r>
              <w:rPr>
                <w:rFonts w:ascii="Times New Roman" w:hAnsi="Times New Roman" w:cs="Times New Roman"/>
                <w:sz w:val="20"/>
              </w:rPr>
              <w:t>N</w:t>
            </w:r>
            <w:r w:rsidRPr="00135D4D">
              <w:rPr>
                <w:rFonts w:ascii="Times New Roman" w:hAnsi="Times New Roman" w:cs="Times New Roman"/>
                <w:sz w:val="20"/>
              </w:rPr>
              <w:t>a etapie prac koncepcyjnych były rozważane różne pojęcia, w</w:t>
            </w:r>
            <w:r>
              <w:rPr>
                <w:rFonts w:ascii="Times New Roman" w:hAnsi="Times New Roman" w:cs="Times New Roman"/>
                <w:sz w:val="20"/>
              </w:rPr>
              <w:t> </w:t>
            </w:r>
            <w:r w:rsidRPr="00135D4D">
              <w:rPr>
                <w:rFonts w:ascii="Times New Roman" w:hAnsi="Times New Roman" w:cs="Times New Roman"/>
                <w:sz w:val="20"/>
              </w:rPr>
              <w:t xml:space="preserve">tym te wskazane przez </w:t>
            </w:r>
            <w:proofErr w:type="spellStart"/>
            <w:r w:rsidRPr="00135D4D">
              <w:rPr>
                <w:rFonts w:ascii="Times New Roman" w:hAnsi="Times New Roman" w:cs="Times New Roman"/>
                <w:sz w:val="20"/>
              </w:rPr>
              <w:t>Uwagodawcę</w:t>
            </w:r>
            <w:proofErr w:type="spellEnd"/>
            <w:r w:rsidRPr="00135D4D">
              <w:rPr>
                <w:rFonts w:ascii="Times New Roman" w:hAnsi="Times New Roman" w:cs="Times New Roman"/>
                <w:sz w:val="20"/>
              </w:rPr>
              <w:t>. Ostatecznie zdecydowano się jednak na odniesienie do pojęcia pokoju. Pojęcie to jest bowiem immanentnym składnikiem opisu oferty sprzedaży mieszkania w praktyce obrotu oraz jedną z kluczowych zmiennych branych pod uwagę przy ocenie oferty</w:t>
            </w:r>
            <w:r w:rsidR="008A7D1F">
              <w:rPr>
                <w:rFonts w:ascii="Times New Roman" w:hAnsi="Times New Roman" w:cs="Times New Roman"/>
                <w:sz w:val="20"/>
              </w:rPr>
              <w:t xml:space="preserve"> przez nabywcę</w:t>
            </w:r>
            <w:r w:rsidRPr="00135D4D">
              <w:rPr>
                <w:rFonts w:ascii="Times New Roman" w:hAnsi="Times New Roman" w:cs="Times New Roman"/>
                <w:sz w:val="20"/>
              </w:rPr>
              <w:t>.</w:t>
            </w:r>
            <w:r w:rsidR="008A7D1F">
              <w:rPr>
                <w:rFonts w:ascii="Times New Roman" w:hAnsi="Times New Roman" w:cs="Times New Roman"/>
                <w:sz w:val="20"/>
              </w:rPr>
              <w:t xml:space="preserve"> Innymi słowy, liczba pokoi to podstawowy parametr opisujący zbywaną nieruchomość mieszkaniową w praktyce obrotu oraz podstawowy parametr brany pod uwagę przy ocenie oferty przez osobę poszukującą mieszkania.</w:t>
            </w:r>
            <w:r w:rsidR="005D3AA7">
              <w:rPr>
                <w:rFonts w:ascii="Times New Roman" w:hAnsi="Times New Roman" w:cs="Times New Roman"/>
                <w:sz w:val="20"/>
              </w:rPr>
              <w:t xml:space="preserve"> Z tego samego powodu </w:t>
            </w:r>
            <w:r w:rsidR="005D3AA7">
              <w:rPr>
                <w:rFonts w:ascii="Times New Roman" w:hAnsi="Times New Roman" w:cs="Times New Roman"/>
                <w:sz w:val="20"/>
              </w:rPr>
              <w:lastRenderedPageBreak/>
              <w:t>problematyczne byłoby wprowadzenie w tym zakresie definicji legalnej pojęcia</w:t>
            </w:r>
            <w:r w:rsidR="00F5496B">
              <w:rPr>
                <w:rFonts w:ascii="Times New Roman" w:hAnsi="Times New Roman" w:cs="Times New Roman"/>
                <w:sz w:val="20"/>
              </w:rPr>
              <w:t>,</w:t>
            </w:r>
            <w:r w:rsidR="005D3AA7">
              <w:rPr>
                <w:rFonts w:ascii="Times New Roman" w:hAnsi="Times New Roman" w:cs="Times New Roman"/>
                <w:sz w:val="20"/>
              </w:rPr>
              <w:t xml:space="preserve"> dlatego zrezygnowano z próby jej stworzenia. </w:t>
            </w:r>
            <w:r w:rsidRPr="00135D4D">
              <w:rPr>
                <w:rFonts w:ascii="Times New Roman" w:hAnsi="Times New Roman" w:cs="Times New Roman"/>
                <w:sz w:val="20"/>
              </w:rPr>
              <w:t xml:space="preserve">Ewentualne rozbieżności w zakresie rozumienia pojęcia nie będą </w:t>
            </w:r>
            <w:r w:rsidR="005D3AA7">
              <w:rPr>
                <w:rFonts w:ascii="Times New Roman" w:hAnsi="Times New Roman" w:cs="Times New Roman"/>
                <w:sz w:val="20"/>
              </w:rPr>
              <w:t xml:space="preserve">jednak </w:t>
            </w:r>
            <w:r w:rsidRPr="00135D4D">
              <w:rPr>
                <w:rFonts w:ascii="Times New Roman" w:hAnsi="Times New Roman" w:cs="Times New Roman"/>
                <w:sz w:val="20"/>
              </w:rPr>
              <w:t>negatywnie wpływały na funkcjonalności Portalu i jego użyteczność</w:t>
            </w:r>
            <w:r w:rsidR="00FA1473">
              <w:rPr>
                <w:rFonts w:ascii="Times New Roman" w:hAnsi="Times New Roman" w:cs="Times New Roman"/>
                <w:sz w:val="20"/>
              </w:rPr>
              <w:t>, podobnie jak oparcie się w tym zakresie na</w:t>
            </w:r>
            <w:r w:rsidR="00F5496B">
              <w:rPr>
                <w:rFonts w:ascii="Times New Roman" w:hAnsi="Times New Roman" w:cs="Times New Roman"/>
                <w:sz w:val="20"/>
              </w:rPr>
              <w:t> </w:t>
            </w:r>
            <w:r w:rsidR="00FA1473">
              <w:rPr>
                <w:rFonts w:ascii="Times New Roman" w:hAnsi="Times New Roman" w:cs="Times New Roman"/>
                <w:sz w:val="20"/>
              </w:rPr>
              <w:t>oświadczeniu strony.</w:t>
            </w:r>
          </w:p>
          <w:p w14:paraId="38200369" w14:textId="44BDFAE0" w:rsidR="005D3AA7" w:rsidRPr="00D71B0F" w:rsidRDefault="005D3AA7" w:rsidP="00F85687">
            <w:pPr>
              <w:spacing w:before="120" w:after="120"/>
              <w:jc w:val="both"/>
              <w:rPr>
                <w:rFonts w:ascii="Times New Roman" w:hAnsi="Times New Roman" w:cs="Times New Roman"/>
                <w:sz w:val="20"/>
              </w:rPr>
            </w:pPr>
            <w:r>
              <w:rPr>
                <w:rFonts w:ascii="Times New Roman" w:hAnsi="Times New Roman" w:cs="Times New Roman"/>
                <w:sz w:val="20"/>
              </w:rPr>
              <w:t xml:space="preserve">Odnosząc się do ostatniego zastrzeżenia, jest ono niezrozumiałe. W kontekście celów Portalu DOM i jego użyteczności przebudowa w toku użytkowania nieruchomości nie ma żadnego znaczenia. Kluczowe są bowiem parametry nieruchomości wpływające na jej cenę w momencie finalizowania transakcji. </w:t>
            </w:r>
          </w:p>
        </w:tc>
      </w:tr>
      <w:tr w:rsidR="00F85687" w:rsidRPr="00FF4480" w14:paraId="1AA93433" w14:textId="77777777" w:rsidTr="00E9565F">
        <w:trPr>
          <w:jc w:val="center"/>
        </w:trPr>
        <w:tc>
          <w:tcPr>
            <w:tcW w:w="554" w:type="dxa"/>
          </w:tcPr>
          <w:p w14:paraId="03B20318" w14:textId="77777777" w:rsidR="00F85687" w:rsidRPr="00FF4480" w:rsidRDefault="00F85687" w:rsidP="00F85687">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F2D6597" w14:textId="2D69BF19" w:rsidR="00F85687" w:rsidRPr="00406800" w:rsidRDefault="00F85687" w:rsidP="00F85687">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6B9F42B2" w14:textId="161AFCC3" w:rsidR="00F85687" w:rsidRPr="00406800" w:rsidRDefault="00F85687" w:rsidP="00F85687">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 xml:space="preserve">zakresie art. 56a ust. </w:t>
            </w:r>
            <w:r>
              <w:rPr>
                <w:rFonts w:ascii="Times New Roman" w:hAnsi="Times New Roman" w:cs="Times New Roman"/>
                <w:sz w:val="20"/>
              </w:rPr>
              <w:t>5</w:t>
            </w:r>
          </w:p>
        </w:tc>
        <w:tc>
          <w:tcPr>
            <w:tcW w:w="5670" w:type="dxa"/>
            <w:vAlign w:val="center"/>
          </w:tcPr>
          <w:p w14:paraId="571541FF" w14:textId="2A61C530" w:rsidR="00F85687" w:rsidRPr="00225FB4" w:rsidRDefault="00F85687" w:rsidP="00F85687">
            <w:pPr>
              <w:spacing w:before="120" w:after="120"/>
              <w:jc w:val="both"/>
              <w:rPr>
                <w:rFonts w:ascii="Times New Roman" w:hAnsi="Times New Roman" w:cs="Times New Roman"/>
                <w:sz w:val="20"/>
              </w:rPr>
            </w:pPr>
            <w:r w:rsidRPr="00225FB4">
              <w:rPr>
                <w:rFonts w:ascii="Times New Roman" w:hAnsi="Times New Roman" w:cs="Times New Roman"/>
                <w:sz w:val="20"/>
              </w:rPr>
              <w:t>Oparcie Portalu DOM na danych z Ewidencji Deweloperskiego Funduszu Gwarancyjnego oznacza, że informacje o transakcjach na rynku pierwotnym dotyczą jedynie nabywców chronionych przez ustawę, czyli osób fizycznych. W obecnej formie projekt wymaga od Szefa Krajowej Administracji Skarbowej przekazywania do Portalu DOM jedynie danych o transakcjach, w których nabywcą jest osoba fizyczna.</w:t>
            </w:r>
          </w:p>
          <w:p w14:paraId="21A1C885" w14:textId="7F804EAE" w:rsidR="00F85687" w:rsidRPr="00225FB4" w:rsidRDefault="00F85687" w:rsidP="00F85687">
            <w:pPr>
              <w:spacing w:before="120" w:after="120"/>
              <w:jc w:val="both"/>
              <w:rPr>
                <w:rFonts w:ascii="Times New Roman" w:hAnsi="Times New Roman" w:cs="Times New Roman"/>
                <w:sz w:val="20"/>
              </w:rPr>
            </w:pPr>
            <w:r w:rsidRPr="00225FB4">
              <w:rPr>
                <w:rFonts w:ascii="Times New Roman" w:hAnsi="Times New Roman" w:cs="Times New Roman"/>
                <w:sz w:val="20"/>
              </w:rPr>
              <w:lastRenderedPageBreak/>
              <w:t>Brakuje natomiast informacji o transakcjach pomiędzy deweloperami a nabywcami będącymi osobami prawnymi, co jest obecnie dość powszechne. Deweloperzy często sprzedają pakiety mieszkań przedsiębiorcom, aby osiągnąć pożądany przez banki poziom sprzedaży na wczesnym etapie inwestycji. Następnie te mieszkania mogą być sprzedawane osobom fizycznym, jeszcze w</w:t>
            </w:r>
            <w:r>
              <w:rPr>
                <w:rFonts w:ascii="Times New Roman" w:hAnsi="Times New Roman" w:cs="Times New Roman"/>
                <w:sz w:val="20"/>
              </w:rPr>
              <w:t> </w:t>
            </w:r>
            <w:r w:rsidRPr="00225FB4">
              <w:rPr>
                <w:rFonts w:ascii="Times New Roman" w:hAnsi="Times New Roman" w:cs="Times New Roman"/>
                <w:sz w:val="20"/>
              </w:rPr>
              <w:t>trakcie budowy (cesja) lub po oddaniu do użytkowania. Chociaż takie transakcje będą rejestrowane w Portalu, niemożliwe będzie oszacowanie skali działań pośredników, zarówno pod względem liczby transakcji, jak i różnic w cenach. Działania regulacyjne w</w:t>
            </w:r>
            <w:r>
              <w:rPr>
                <w:rFonts w:ascii="Times New Roman" w:hAnsi="Times New Roman" w:cs="Times New Roman"/>
                <w:sz w:val="20"/>
              </w:rPr>
              <w:t> </w:t>
            </w:r>
            <w:r w:rsidRPr="00225FB4">
              <w:rPr>
                <w:rFonts w:ascii="Times New Roman" w:hAnsi="Times New Roman" w:cs="Times New Roman"/>
                <w:sz w:val="20"/>
              </w:rPr>
              <w:t>ostatnich dwóch latach również dotyczyły tego typu działalności, znanej jako „</w:t>
            </w:r>
            <w:proofErr w:type="spellStart"/>
            <w:r w:rsidRPr="00225FB4">
              <w:rPr>
                <w:rFonts w:ascii="Times New Roman" w:hAnsi="Times New Roman" w:cs="Times New Roman"/>
                <w:sz w:val="20"/>
              </w:rPr>
              <w:t>flipowanie</w:t>
            </w:r>
            <w:proofErr w:type="spellEnd"/>
            <w:r w:rsidRPr="00225FB4">
              <w:rPr>
                <w:rFonts w:ascii="Times New Roman" w:hAnsi="Times New Roman" w:cs="Times New Roman"/>
                <w:sz w:val="20"/>
              </w:rPr>
              <w:t>” na rynku pierwotnym.</w:t>
            </w:r>
          </w:p>
          <w:p w14:paraId="60404F68" w14:textId="4A715054" w:rsidR="00F85687" w:rsidRPr="00225FB4" w:rsidRDefault="00F85687" w:rsidP="00F85687">
            <w:pPr>
              <w:spacing w:before="120" w:after="120"/>
              <w:jc w:val="both"/>
              <w:rPr>
                <w:rFonts w:ascii="Times New Roman" w:hAnsi="Times New Roman" w:cs="Times New Roman"/>
                <w:sz w:val="20"/>
              </w:rPr>
            </w:pPr>
            <w:r w:rsidRPr="00225FB4">
              <w:rPr>
                <w:rFonts w:ascii="Times New Roman" w:hAnsi="Times New Roman" w:cs="Times New Roman"/>
                <w:sz w:val="20"/>
              </w:rPr>
              <w:t xml:space="preserve">Dane pozyskiwane od Szefa Krajowej Administracji Skarbowej są ograniczone do transakcji, w których nabywcą jest osoba fizyczna, co wyklucza zakupy dokonywane przez podmioty zajmujące się handlem nieruchomościami, potocznie nazywane </w:t>
            </w:r>
            <w:proofErr w:type="spellStart"/>
            <w:r w:rsidRPr="00225FB4">
              <w:rPr>
                <w:rFonts w:ascii="Times New Roman" w:hAnsi="Times New Roman" w:cs="Times New Roman"/>
                <w:sz w:val="20"/>
              </w:rPr>
              <w:t>flipperami</w:t>
            </w:r>
            <w:proofErr w:type="spellEnd"/>
            <w:r w:rsidRPr="00225FB4">
              <w:rPr>
                <w:rFonts w:ascii="Times New Roman" w:hAnsi="Times New Roman" w:cs="Times New Roman"/>
                <w:sz w:val="20"/>
              </w:rPr>
              <w:t>. Można z danych statystycznych wykluczać sprzedaż przetargową, jak robi to GUS, aby uniknąć zaniżania średnich cen, jednak całkowite pominięcie transakcji, gdzie kupującym jest inny podmiot niż osoba fizyczna, jest trudne do zrozumienia. Osoby fizyczne pełnią nie tylko rolę nabywców, ale także sprzedających na rynku nieruchomości. W przypadku sprzedaży bez wsparcia profesjonalistów, dostęp do jak najszerszego zakresu informacji jest kluczowy. Ustalony próg minimum 6 transakcji, mający na celu zapewnienie poufności danych przy użyciu programów do analizy, może być trudny do osiągnięcia, jeśli nie będą brane pod uwagę transakcje z osobami prawnymi. W skrajnych przypadkach może to prowadzić do braku możliwości korzystania z funkcji Portalu w określonych regionach i</w:t>
            </w:r>
            <w:r>
              <w:rPr>
                <w:rFonts w:ascii="Times New Roman" w:hAnsi="Times New Roman" w:cs="Times New Roman"/>
                <w:sz w:val="20"/>
              </w:rPr>
              <w:t> </w:t>
            </w:r>
            <w:r w:rsidRPr="00225FB4">
              <w:rPr>
                <w:rFonts w:ascii="Times New Roman" w:hAnsi="Times New Roman" w:cs="Times New Roman"/>
                <w:sz w:val="20"/>
              </w:rPr>
              <w:t>przedziałach czasowych.</w:t>
            </w:r>
          </w:p>
          <w:p w14:paraId="57CE95A2" w14:textId="0641E640" w:rsidR="00F85687" w:rsidRPr="00406800" w:rsidRDefault="00F85687" w:rsidP="00F85687">
            <w:pPr>
              <w:spacing w:before="120" w:after="120"/>
              <w:jc w:val="both"/>
              <w:rPr>
                <w:rFonts w:ascii="Times New Roman" w:hAnsi="Times New Roman" w:cs="Times New Roman"/>
                <w:sz w:val="20"/>
              </w:rPr>
            </w:pPr>
            <w:r w:rsidRPr="00225FB4">
              <w:rPr>
                <w:rFonts w:ascii="Times New Roman" w:hAnsi="Times New Roman" w:cs="Times New Roman"/>
                <w:sz w:val="20"/>
              </w:rPr>
              <w:t>W związku z tym Portal, w kontekście efektywności regulacji dotyczących ograniczenia roli podmiotów skupujących i</w:t>
            </w:r>
            <w:r>
              <w:rPr>
                <w:rFonts w:ascii="Times New Roman" w:hAnsi="Times New Roman" w:cs="Times New Roman"/>
                <w:sz w:val="20"/>
              </w:rPr>
              <w:t> </w:t>
            </w:r>
            <w:r w:rsidRPr="00225FB4">
              <w:rPr>
                <w:rFonts w:ascii="Times New Roman" w:hAnsi="Times New Roman" w:cs="Times New Roman"/>
                <w:sz w:val="20"/>
              </w:rPr>
              <w:t>handlujących mieszkaniami, nie będzie pełnił istotnej roli informacyjnej w zakresie podejmowanych działań w obszarze polityki mieszkaniowej.</w:t>
            </w:r>
          </w:p>
        </w:tc>
        <w:tc>
          <w:tcPr>
            <w:tcW w:w="4160" w:type="dxa"/>
          </w:tcPr>
          <w:p w14:paraId="1ECC18B4" w14:textId="1852D394" w:rsidR="00F85687" w:rsidRPr="00397105" w:rsidRDefault="001347D9" w:rsidP="00F85687">
            <w:pPr>
              <w:spacing w:before="120" w:after="120"/>
              <w:jc w:val="both"/>
              <w:rPr>
                <w:rFonts w:ascii="Times New Roman" w:hAnsi="Times New Roman" w:cs="Times New Roman"/>
                <w:sz w:val="20"/>
                <w:u w:val="single"/>
              </w:rPr>
            </w:pPr>
            <w:r w:rsidRPr="000C6324">
              <w:rPr>
                <w:rFonts w:ascii="Times New Roman" w:hAnsi="Times New Roman" w:cs="Times New Roman"/>
                <w:color w:val="0070C0"/>
                <w:sz w:val="20"/>
              </w:rPr>
              <w:lastRenderedPageBreak/>
              <w:t>Uwaga uwzględniona</w:t>
            </w:r>
          </w:p>
          <w:p w14:paraId="2B4F4224" w14:textId="76F813D7" w:rsidR="00F85687" w:rsidRPr="005902EA" w:rsidRDefault="00EF7374" w:rsidP="00F85687">
            <w:pPr>
              <w:spacing w:before="120" w:after="120"/>
              <w:jc w:val="both"/>
              <w:rPr>
                <w:rFonts w:ascii="Times New Roman" w:hAnsi="Times New Roman" w:cs="Times New Roman"/>
                <w:sz w:val="20"/>
                <w:highlight w:val="cyan"/>
              </w:rPr>
            </w:pPr>
            <w:r w:rsidRPr="000C6324">
              <w:rPr>
                <w:rFonts w:ascii="Times New Roman" w:hAnsi="Times New Roman" w:cs="Times New Roman"/>
                <w:sz w:val="20"/>
              </w:rPr>
              <w:t xml:space="preserve">Podstawowym celem zaprojektowania tego rozwiązania jest umożliwienie osobom fizycznym jako podmiotom mającym słabszą </w:t>
            </w:r>
            <w:r w:rsidR="00127549" w:rsidRPr="000C6324">
              <w:rPr>
                <w:rFonts w:ascii="Times New Roman" w:hAnsi="Times New Roman" w:cs="Times New Roman"/>
                <w:sz w:val="20"/>
              </w:rPr>
              <w:t>(</w:t>
            </w:r>
            <w:r w:rsidR="00822077" w:rsidRPr="000C6324">
              <w:rPr>
                <w:rFonts w:ascii="Times New Roman" w:hAnsi="Times New Roman" w:cs="Times New Roman"/>
                <w:sz w:val="20"/>
              </w:rPr>
              <w:t>w relacji do pozostałych podmiotów</w:t>
            </w:r>
            <w:r w:rsidR="00127549" w:rsidRPr="000C6324">
              <w:rPr>
                <w:rFonts w:ascii="Times New Roman" w:hAnsi="Times New Roman" w:cs="Times New Roman"/>
                <w:sz w:val="20"/>
              </w:rPr>
              <w:t xml:space="preserve"> działających na rynku)</w:t>
            </w:r>
            <w:r w:rsidR="00822077" w:rsidRPr="000C6324">
              <w:rPr>
                <w:rFonts w:ascii="Times New Roman" w:hAnsi="Times New Roman" w:cs="Times New Roman"/>
                <w:sz w:val="20"/>
              </w:rPr>
              <w:t xml:space="preserve"> </w:t>
            </w:r>
            <w:r w:rsidRPr="000C6324">
              <w:rPr>
                <w:rFonts w:ascii="Times New Roman" w:hAnsi="Times New Roman" w:cs="Times New Roman"/>
                <w:sz w:val="20"/>
              </w:rPr>
              <w:t>pozycję w</w:t>
            </w:r>
            <w:r w:rsidR="00822077" w:rsidRPr="000C6324">
              <w:rPr>
                <w:rFonts w:ascii="Times New Roman" w:hAnsi="Times New Roman" w:cs="Times New Roman"/>
                <w:sz w:val="20"/>
              </w:rPr>
              <w:t> </w:t>
            </w:r>
            <w:r w:rsidRPr="000C6324">
              <w:rPr>
                <w:rFonts w:ascii="Times New Roman" w:hAnsi="Times New Roman" w:cs="Times New Roman"/>
                <w:sz w:val="20"/>
              </w:rPr>
              <w:t xml:space="preserve">praktyce obrotu rozeznanie się w cenach transakcyjnych </w:t>
            </w:r>
            <w:r w:rsidRPr="000C6324">
              <w:rPr>
                <w:rFonts w:ascii="Times New Roman" w:hAnsi="Times New Roman" w:cs="Times New Roman"/>
                <w:sz w:val="20"/>
              </w:rPr>
              <w:lastRenderedPageBreak/>
              <w:t xml:space="preserve">nieruchomości mieszkaniowych, by ułatwić im podejmowanie </w:t>
            </w:r>
            <w:r w:rsidR="00822077" w:rsidRPr="000C6324">
              <w:rPr>
                <w:rFonts w:ascii="Times New Roman" w:hAnsi="Times New Roman" w:cs="Times New Roman"/>
                <w:sz w:val="20"/>
              </w:rPr>
              <w:t xml:space="preserve">korzystnych </w:t>
            </w:r>
            <w:r w:rsidRPr="000C6324">
              <w:rPr>
                <w:rFonts w:ascii="Times New Roman" w:hAnsi="Times New Roman" w:cs="Times New Roman"/>
                <w:sz w:val="20"/>
              </w:rPr>
              <w:t>decyzji zakupowych</w:t>
            </w:r>
            <w:r w:rsidR="00127549" w:rsidRPr="000C6324">
              <w:rPr>
                <w:rFonts w:ascii="Times New Roman" w:hAnsi="Times New Roman" w:cs="Times New Roman"/>
                <w:sz w:val="20"/>
              </w:rPr>
              <w:t xml:space="preserve"> w celu zaspokojenia własnych potrzeb mieszkaniowych</w:t>
            </w:r>
            <w:r w:rsidRPr="000C6324">
              <w:rPr>
                <w:rFonts w:ascii="Times New Roman" w:hAnsi="Times New Roman" w:cs="Times New Roman"/>
                <w:sz w:val="20"/>
              </w:rPr>
              <w:t>.</w:t>
            </w:r>
            <w:r w:rsidR="00127549" w:rsidRPr="000C6324">
              <w:rPr>
                <w:rFonts w:ascii="Times New Roman" w:hAnsi="Times New Roman" w:cs="Times New Roman"/>
                <w:sz w:val="20"/>
              </w:rPr>
              <w:t xml:space="preserve"> </w:t>
            </w:r>
            <w:r w:rsidR="001347D9" w:rsidRPr="000C6324">
              <w:rPr>
                <w:rFonts w:ascii="Times New Roman" w:hAnsi="Times New Roman" w:cs="Times New Roman"/>
                <w:sz w:val="20"/>
              </w:rPr>
              <w:t xml:space="preserve">Dodatkowo katalog transakcji został uzupełniony o transakcje, w których po stronie nabywcy są </w:t>
            </w:r>
            <w:r w:rsidR="00E22034" w:rsidRPr="000C6324">
              <w:rPr>
                <w:rFonts w:ascii="Times New Roman" w:hAnsi="Times New Roman" w:cs="Times New Roman"/>
                <w:sz w:val="20"/>
              </w:rPr>
              <w:t xml:space="preserve">podmioty </w:t>
            </w:r>
            <w:r w:rsidR="001347D9" w:rsidRPr="000C6324">
              <w:rPr>
                <w:rFonts w:ascii="Times New Roman" w:hAnsi="Times New Roman" w:cs="Times New Roman"/>
                <w:sz w:val="20"/>
              </w:rPr>
              <w:t xml:space="preserve">inne niż osoby fizyczne. Umożliwi to monitorowanie </w:t>
            </w:r>
            <w:r w:rsidR="00E22034" w:rsidRPr="00E22034">
              <w:rPr>
                <w:rFonts w:ascii="Times New Roman" w:hAnsi="Times New Roman" w:cs="Times New Roman"/>
                <w:sz w:val="20"/>
              </w:rPr>
              <w:t xml:space="preserve">rynku mieszkaniowego pod kątem </w:t>
            </w:r>
            <w:r w:rsidR="00E22034">
              <w:rPr>
                <w:rFonts w:ascii="Times New Roman" w:hAnsi="Times New Roman" w:cs="Times New Roman"/>
                <w:sz w:val="20"/>
              </w:rPr>
              <w:t xml:space="preserve">ogólnej </w:t>
            </w:r>
            <w:r w:rsidR="00E22034" w:rsidRPr="00E22034">
              <w:rPr>
                <w:rFonts w:ascii="Times New Roman" w:hAnsi="Times New Roman" w:cs="Times New Roman"/>
                <w:sz w:val="20"/>
              </w:rPr>
              <w:t>aktywności nabywców, którzy kupują mieszkania bądź w</w:t>
            </w:r>
            <w:r w:rsidR="00E22034">
              <w:rPr>
                <w:rFonts w:ascii="Times New Roman" w:hAnsi="Times New Roman" w:cs="Times New Roman"/>
                <w:sz w:val="20"/>
              </w:rPr>
              <w:t> </w:t>
            </w:r>
            <w:r w:rsidR="00E22034" w:rsidRPr="00E22034">
              <w:rPr>
                <w:rFonts w:ascii="Times New Roman" w:hAnsi="Times New Roman" w:cs="Times New Roman"/>
                <w:sz w:val="20"/>
              </w:rPr>
              <w:t>celach konsumpcyjnych bądź inwestycyjnych</w:t>
            </w:r>
            <w:r w:rsidR="00E22034">
              <w:rPr>
                <w:rFonts w:ascii="Times New Roman" w:hAnsi="Times New Roman" w:cs="Times New Roman"/>
                <w:sz w:val="20"/>
              </w:rPr>
              <w:t xml:space="preserve">. </w:t>
            </w:r>
            <w:r w:rsidR="00E22034" w:rsidRPr="00E22034">
              <w:rPr>
                <w:rFonts w:ascii="Times New Roman" w:hAnsi="Times New Roman" w:cs="Times New Roman"/>
                <w:sz w:val="20"/>
              </w:rPr>
              <w:t>Wiedza o transakcjach dokonywanych przez osoby inne niż fizyczne wzbogaci obraz segmentu rynkowego, gdzie dominującym bodźcem do dokonywania transakcji jest chęć inwestowania środków w nieruchomości mieszkaniowe</w:t>
            </w:r>
            <w:r w:rsidR="00E22034">
              <w:rPr>
                <w:rFonts w:ascii="Times New Roman" w:hAnsi="Times New Roman" w:cs="Times New Roman"/>
                <w:sz w:val="20"/>
              </w:rPr>
              <w:t xml:space="preserve">. </w:t>
            </w:r>
          </w:p>
        </w:tc>
      </w:tr>
      <w:tr w:rsidR="0099084C" w:rsidRPr="00FF4480" w14:paraId="37BEF295" w14:textId="77777777" w:rsidTr="00E9565F">
        <w:trPr>
          <w:jc w:val="center"/>
        </w:trPr>
        <w:tc>
          <w:tcPr>
            <w:tcW w:w="554" w:type="dxa"/>
          </w:tcPr>
          <w:p w14:paraId="35D4E144"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42D2B795" w14:textId="7B7C93EB" w:rsidR="0099084C" w:rsidRPr="00406800"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28D9ACB7" w14:textId="6E271CF4" w:rsidR="0099084C" w:rsidRPr="00406800" w:rsidRDefault="0099084C" w:rsidP="0099084C">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 xml:space="preserve">zakresie art. 56a ust. </w:t>
            </w:r>
            <w:r>
              <w:rPr>
                <w:rFonts w:ascii="Times New Roman" w:hAnsi="Times New Roman" w:cs="Times New Roman"/>
                <w:sz w:val="20"/>
              </w:rPr>
              <w:t>5</w:t>
            </w:r>
          </w:p>
        </w:tc>
        <w:tc>
          <w:tcPr>
            <w:tcW w:w="5670" w:type="dxa"/>
            <w:vAlign w:val="center"/>
          </w:tcPr>
          <w:p w14:paraId="41C3BD4D" w14:textId="1F7F187B" w:rsidR="0099084C" w:rsidRPr="00225FB4" w:rsidRDefault="0099084C" w:rsidP="0099084C">
            <w:pPr>
              <w:spacing w:before="120" w:after="120"/>
              <w:jc w:val="both"/>
              <w:rPr>
                <w:rFonts w:ascii="Times New Roman" w:hAnsi="Times New Roman" w:cs="Times New Roman"/>
                <w:sz w:val="20"/>
              </w:rPr>
            </w:pPr>
            <w:r w:rsidRPr="00721C84">
              <w:rPr>
                <w:rFonts w:ascii="Times New Roman" w:hAnsi="Times New Roman" w:cs="Times New Roman"/>
                <w:sz w:val="20"/>
              </w:rPr>
              <w:t>Z regulacji wyłączono pozyskiwanie i wprowadzanie danych dot. obrotu, w którym nabywcami nieruchomości mieszkaniowych są osoby prawne. ZG SNRP nie znajduje uzasadnienia dla wprowadzenia takiego rozróżnienia, w szczególności pod względem celu prowadzenia portalu DOM (osoba prawna również nabywa lokale/budynki mieszkalne).</w:t>
            </w:r>
          </w:p>
        </w:tc>
        <w:tc>
          <w:tcPr>
            <w:tcW w:w="4160" w:type="dxa"/>
          </w:tcPr>
          <w:p w14:paraId="7D56F85C" w14:textId="36594862" w:rsidR="00900BDB" w:rsidRPr="00C462CD" w:rsidRDefault="00237455" w:rsidP="0099084C">
            <w:pPr>
              <w:spacing w:before="120" w:after="120"/>
              <w:jc w:val="both"/>
              <w:rPr>
                <w:rFonts w:ascii="Times New Roman" w:hAnsi="Times New Roman" w:cs="Times New Roman"/>
                <w:sz w:val="20"/>
                <w:highlight w:val="cyan"/>
                <w:u w:val="single"/>
              </w:rPr>
            </w:pPr>
            <w:r w:rsidRPr="005902EA">
              <w:rPr>
                <w:rFonts w:ascii="Times New Roman" w:hAnsi="Times New Roman" w:cs="Times New Roman"/>
                <w:color w:val="0070C0"/>
                <w:sz w:val="20"/>
              </w:rPr>
              <w:t>Uwaga uwzględniona</w:t>
            </w:r>
          </w:p>
          <w:p w14:paraId="0D41FE21" w14:textId="350B42B8" w:rsidR="0099084C" w:rsidRPr="00DA1B4F" w:rsidRDefault="0099084C" w:rsidP="0099084C">
            <w:pPr>
              <w:spacing w:before="120" w:after="120"/>
              <w:jc w:val="both"/>
              <w:rPr>
                <w:rFonts w:ascii="Times New Roman" w:hAnsi="Times New Roman" w:cs="Times New Roman"/>
                <w:sz w:val="20"/>
                <w:highlight w:val="cyan"/>
              </w:rPr>
            </w:pPr>
            <w:r w:rsidRPr="005902EA">
              <w:rPr>
                <w:rFonts w:ascii="Times New Roman" w:hAnsi="Times New Roman" w:cs="Times New Roman"/>
                <w:sz w:val="20"/>
              </w:rPr>
              <w:t>Podstawowym celem zaprojektowania tego rozwiązania jest umożliwienie osobom fizycznym jako podmiotom mającym słabszą (w relacji do pozostałych podmiotów działających na rynku) pozycję w praktyce obrotu rozeznanie się w cenach transakcyjnych nieruchomości mieszkaniowych, by ułatwić im podejmowanie korzystnych decyzji zakupowych w celu zaspokojenia własnych potrzeb mieszkaniowych. Nabywanie nieruchomości mieszkaniowych przez jednostki organizacyjne ma inny charakter gospodarczy. Cechują je inne zasady, nieco inne elementy kształtujące cenę etc. Tym samym użyteczność tego typu danych byłaby dla osoby fizycznej poszukującej mieszkania i rozważającej różne oferty kupna niewielka.</w:t>
            </w:r>
            <w:r w:rsidR="00237455" w:rsidRPr="005902EA">
              <w:t xml:space="preserve"> </w:t>
            </w:r>
            <w:r w:rsidR="00E22034" w:rsidRPr="005902EA">
              <w:rPr>
                <w:rFonts w:ascii="Times New Roman" w:hAnsi="Times New Roman" w:cs="Times New Roman"/>
                <w:sz w:val="20"/>
              </w:rPr>
              <w:t>Dodatkowo katalog transakcji został uzupełniony o transakcje, w których po stronie nabywcy są podmioty inne niż osoby fizyczne. Umożliwi to monitorowanie rynku mieszkaniowego pod kątem ogólnej aktywności nabywców, którzy kupują mieszkania bądź w</w:t>
            </w:r>
            <w:r w:rsidR="005902EA" w:rsidRPr="005902EA">
              <w:rPr>
                <w:rFonts w:ascii="Times New Roman" w:hAnsi="Times New Roman" w:cs="Times New Roman"/>
                <w:sz w:val="20"/>
              </w:rPr>
              <w:t> </w:t>
            </w:r>
            <w:r w:rsidR="00E22034" w:rsidRPr="005902EA">
              <w:rPr>
                <w:rFonts w:ascii="Times New Roman" w:hAnsi="Times New Roman" w:cs="Times New Roman"/>
                <w:sz w:val="20"/>
              </w:rPr>
              <w:t>celach konsumpcyjnych bądź inwestycyjnych. Wiedza o transakcjach dokonywanych przez osoby inne niż fizyczne wzbogaci obraz segmentu rynkowego, gdzie dominującym bodźcem do dokonywania transakcji jest chęć inwestowania środków w nieruchomości mieszkaniowe</w:t>
            </w:r>
            <w:r w:rsidR="00900BDB" w:rsidRPr="005902EA">
              <w:rPr>
                <w:rFonts w:ascii="Times New Roman" w:hAnsi="Times New Roman" w:cs="Times New Roman"/>
                <w:sz w:val="20"/>
              </w:rPr>
              <w:t>.</w:t>
            </w:r>
          </w:p>
        </w:tc>
      </w:tr>
      <w:tr w:rsidR="0099084C" w:rsidRPr="00FF4480" w14:paraId="2CCE1F8D" w14:textId="77777777" w:rsidTr="00E9565F">
        <w:trPr>
          <w:jc w:val="center"/>
        </w:trPr>
        <w:tc>
          <w:tcPr>
            <w:tcW w:w="554" w:type="dxa"/>
          </w:tcPr>
          <w:p w14:paraId="297ACB0E"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6CC95FA" w14:textId="7D45FEC6"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51A27302" w14:textId="732879F2" w:rsidR="0099084C" w:rsidRPr="00406800" w:rsidRDefault="0099084C" w:rsidP="0099084C">
            <w:pPr>
              <w:spacing w:before="120" w:after="120"/>
              <w:jc w:val="center"/>
              <w:rPr>
                <w:rFonts w:ascii="Times New Roman" w:hAnsi="Times New Roman" w:cs="Times New Roman"/>
                <w:sz w:val="20"/>
              </w:rPr>
            </w:pPr>
            <w:r w:rsidRPr="00721C84">
              <w:rPr>
                <w:rFonts w:ascii="Times New Roman" w:hAnsi="Times New Roman" w:cs="Times New Roman"/>
                <w:sz w:val="20"/>
              </w:rPr>
              <w:t>Art. 1 pkt 6 w</w:t>
            </w:r>
            <w:r>
              <w:rPr>
                <w:rFonts w:ascii="Times New Roman" w:hAnsi="Times New Roman" w:cs="Times New Roman"/>
                <w:sz w:val="20"/>
              </w:rPr>
              <w:t> </w:t>
            </w:r>
            <w:r w:rsidRPr="00721C84">
              <w:rPr>
                <w:rFonts w:ascii="Times New Roman" w:hAnsi="Times New Roman" w:cs="Times New Roman"/>
                <w:sz w:val="20"/>
              </w:rPr>
              <w:t>zakresie art. 56</w:t>
            </w:r>
            <w:r>
              <w:rPr>
                <w:rFonts w:ascii="Times New Roman" w:hAnsi="Times New Roman" w:cs="Times New Roman"/>
                <w:sz w:val="20"/>
              </w:rPr>
              <w:t>c</w:t>
            </w:r>
            <w:r w:rsidRPr="00721C84">
              <w:rPr>
                <w:rFonts w:ascii="Times New Roman" w:hAnsi="Times New Roman" w:cs="Times New Roman"/>
                <w:sz w:val="20"/>
              </w:rPr>
              <w:t xml:space="preserve"> ust. </w:t>
            </w:r>
            <w:r>
              <w:rPr>
                <w:rFonts w:ascii="Times New Roman" w:hAnsi="Times New Roman" w:cs="Times New Roman"/>
                <w:sz w:val="20"/>
              </w:rPr>
              <w:t>1 w zw. z </w:t>
            </w:r>
            <w:r w:rsidRPr="002C69E0">
              <w:rPr>
                <w:rFonts w:ascii="Times New Roman" w:hAnsi="Times New Roman" w:cs="Times New Roman"/>
                <w:sz w:val="20"/>
              </w:rPr>
              <w:t>art.</w:t>
            </w:r>
            <w:r>
              <w:rPr>
                <w:rFonts w:ascii="Times New Roman" w:hAnsi="Times New Roman" w:cs="Times New Roman"/>
                <w:sz w:val="20"/>
              </w:rPr>
              <w:t> </w:t>
            </w:r>
            <w:r w:rsidRPr="002C69E0">
              <w:rPr>
                <w:rFonts w:ascii="Times New Roman" w:hAnsi="Times New Roman" w:cs="Times New Roman"/>
                <w:sz w:val="20"/>
              </w:rPr>
              <w:t>56a ust. 2</w:t>
            </w:r>
          </w:p>
        </w:tc>
        <w:tc>
          <w:tcPr>
            <w:tcW w:w="5670" w:type="dxa"/>
            <w:vAlign w:val="center"/>
          </w:tcPr>
          <w:p w14:paraId="6022EFBD" w14:textId="3DCB3081" w:rsidR="0099084C" w:rsidRPr="00721C84" w:rsidRDefault="0099084C" w:rsidP="0099084C">
            <w:pPr>
              <w:spacing w:before="120" w:after="120"/>
              <w:jc w:val="both"/>
              <w:rPr>
                <w:rFonts w:ascii="Times New Roman" w:hAnsi="Times New Roman" w:cs="Times New Roman"/>
                <w:sz w:val="20"/>
              </w:rPr>
            </w:pPr>
            <w:r w:rsidRPr="002C69E0">
              <w:rPr>
                <w:rFonts w:ascii="Times New Roman" w:hAnsi="Times New Roman" w:cs="Times New Roman"/>
                <w:sz w:val="20"/>
              </w:rPr>
              <w:t>Zapisy wskazanych jednostek redakcyjnych wydają się być zbędnym powtórzeniem.</w:t>
            </w:r>
          </w:p>
        </w:tc>
        <w:tc>
          <w:tcPr>
            <w:tcW w:w="4160" w:type="dxa"/>
          </w:tcPr>
          <w:p w14:paraId="7C0F3F05" w14:textId="77777777" w:rsidR="00DD3E4D" w:rsidRPr="00397105" w:rsidRDefault="00DD3E4D" w:rsidP="00DD3E4D">
            <w:pPr>
              <w:spacing w:before="120" w:after="120"/>
              <w:jc w:val="both"/>
              <w:rPr>
                <w:rFonts w:ascii="Times New Roman" w:hAnsi="Times New Roman" w:cs="Times New Roman"/>
                <w:sz w:val="20"/>
                <w:u w:val="single"/>
              </w:rPr>
            </w:pPr>
            <w:r w:rsidRPr="00397105">
              <w:rPr>
                <w:rFonts w:ascii="Times New Roman" w:hAnsi="Times New Roman" w:cs="Times New Roman"/>
                <w:sz w:val="20"/>
                <w:u w:val="single"/>
              </w:rPr>
              <w:t>Komentarz do uwagi</w:t>
            </w:r>
          </w:p>
          <w:p w14:paraId="0492BA8B" w14:textId="77777777" w:rsidR="00DD3E4D" w:rsidRDefault="00DD3E4D" w:rsidP="0099084C">
            <w:pPr>
              <w:spacing w:before="120" w:after="120"/>
              <w:jc w:val="both"/>
              <w:rPr>
                <w:rFonts w:ascii="Times New Roman" w:hAnsi="Times New Roman" w:cs="Times New Roman"/>
                <w:sz w:val="20"/>
              </w:rPr>
            </w:pPr>
            <w:r>
              <w:rPr>
                <w:rFonts w:ascii="Times New Roman" w:hAnsi="Times New Roman" w:cs="Times New Roman"/>
                <w:sz w:val="20"/>
              </w:rPr>
              <w:t xml:space="preserve">Brzmienie tych przepisów zostało ustalone w toku uzgodnień dokonanych podczas konferencji uzgodnieniowej, m.in. w celu zapewnienia zgodności z RODO. </w:t>
            </w:r>
          </w:p>
          <w:p w14:paraId="37540199" w14:textId="4E960780" w:rsidR="00C21409" w:rsidRPr="00D71B0F" w:rsidRDefault="00C21409" w:rsidP="00C21409">
            <w:pPr>
              <w:spacing w:before="120" w:after="120"/>
              <w:jc w:val="both"/>
              <w:rPr>
                <w:rFonts w:ascii="Times New Roman" w:hAnsi="Times New Roman" w:cs="Times New Roman"/>
                <w:sz w:val="20"/>
              </w:rPr>
            </w:pPr>
            <w:r>
              <w:rPr>
                <w:rFonts w:ascii="Times New Roman" w:hAnsi="Times New Roman" w:cs="Times New Roman"/>
                <w:sz w:val="20"/>
              </w:rPr>
              <w:lastRenderedPageBreak/>
              <w:t xml:space="preserve">W przywołanych przepisach </w:t>
            </w:r>
            <w:r w:rsidRPr="00C21409">
              <w:rPr>
                <w:rFonts w:ascii="Times New Roman" w:hAnsi="Times New Roman" w:cs="Times New Roman"/>
                <w:sz w:val="20"/>
              </w:rPr>
              <w:t>określone</w:t>
            </w:r>
            <w:r>
              <w:rPr>
                <w:rFonts w:ascii="Times New Roman" w:hAnsi="Times New Roman" w:cs="Times New Roman"/>
                <w:sz w:val="20"/>
              </w:rPr>
              <w:t xml:space="preserve"> zostały</w:t>
            </w:r>
            <w:r w:rsidRPr="00C21409">
              <w:rPr>
                <w:rFonts w:ascii="Times New Roman" w:hAnsi="Times New Roman" w:cs="Times New Roman"/>
                <w:sz w:val="20"/>
              </w:rPr>
              <w:t xml:space="preserve"> zadania UFG składające się na prowadzenie Portalu DOM oraz </w:t>
            </w:r>
            <w:r>
              <w:rPr>
                <w:rFonts w:ascii="Times New Roman" w:hAnsi="Times New Roman" w:cs="Times New Roman"/>
                <w:sz w:val="20"/>
              </w:rPr>
              <w:t xml:space="preserve">wymagane przez RODO </w:t>
            </w:r>
            <w:r w:rsidRPr="00C21409">
              <w:rPr>
                <w:rFonts w:ascii="Times New Roman" w:hAnsi="Times New Roman" w:cs="Times New Roman"/>
                <w:sz w:val="20"/>
              </w:rPr>
              <w:t>cele przetwarzania przez UFG danych i informacji gromadzonych w Portalu DOM.</w:t>
            </w:r>
          </w:p>
        </w:tc>
      </w:tr>
      <w:tr w:rsidR="0099084C" w:rsidRPr="00FF4480" w14:paraId="09BA3C4C" w14:textId="77777777" w:rsidTr="00E9565F">
        <w:trPr>
          <w:jc w:val="center"/>
        </w:trPr>
        <w:tc>
          <w:tcPr>
            <w:tcW w:w="554" w:type="dxa"/>
          </w:tcPr>
          <w:p w14:paraId="6A5AD2FF"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95D8316" w14:textId="0A8E9F6D" w:rsidR="0099084C" w:rsidRPr="00247963" w:rsidRDefault="0099084C" w:rsidP="0099084C">
            <w:pPr>
              <w:spacing w:before="120" w:after="120"/>
              <w:rPr>
                <w:rFonts w:ascii="Times New Roman" w:hAnsi="Times New Roman" w:cs="Times New Roman"/>
                <w:sz w:val="20"/>
              </w:rPr>
            </w:pPr>
            <w:r w:rsidRPr="00ED4A2B">
              <w:rPr>
                <w:rFonts w:ascii="Times New Roman" w:hAnsi="Times New Roman" w:cs="Times New Roman"/>
                <w:sz w:val="20"/>
                <w:szCs w:val="20"/>
              </w:rPr>
              <w:t>Związek Banków Polskich</w:t>
            </w:r>
          </w:p>
        </w:tc>
        <w:tc>
          <w:tcPr>
            <w:tcW w:w="1905" w:type="dxa"/>
            <w:vAlign w:val="center"/>
          </w:tcPr>
          <w:p w14:paraId="537AC5E6" w14:textId="1B075CF1" w:rsidR="0099084C" w:rsidRPr="00721C84" w:rsidRDefault="0099084C" w:rsidP="0099084C">
            <w:pPr>
              <w:spacing w:before="120" w:after="120"/>
              <w:jc w:val="center"/>
              <w:rPr>
                <w:rFonts w:ascii="Times New Roman" w:hAnsi="Times New Roman" w:cs="Times New Roman"/>
                <w:sz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b</w:t>
            </w:r>
          </w:p>
        </w:tc>
        <w:tc>
          <w:tcPr>
            <w:tcW w:w="5670" w:type="dxa"/>
            <w:vAlign w:val="center"/>
          </w:tcPr>
          <w:p w14:paraId="2806D967" w14:textId="108F034F" w:rsidR="0099084C" w:rsidRPr="002C69E0" w:rsidRDefault="0099084C" w:rsidP="0099084C">
            <w:pPr>
              <w:spacing w:before="120" w:after="120"/>
              <w:jc w:val="both"/>
              <w:rPr>
                <w:rFonts w:ascii="Times New Roman" w:hAnsi="Times New Roman" w:cs="Times New Roman"/>
                <w:sz w:val="20"/>
              </w:rPr>
            </w:pPr>
            <w:r w:rsidRPr="00ED4A2B">
              <w:rPr>
                <w:rFonts w:ascii="Times New Roman" w:hAnsi="Times New Roman" w:cs="Times New Roman"/>
                <w:sz w:val="20"/>
              </w:rPr>
              <w:t>Wprowadzenie zapisu o utworzeniu Elektronicznej Karty Nieruchomości zapewniałoby opis nieruchomości i definiowało jedno źródło informacji - akt notarialny. Wówczas nie byłoby konieczności pobierania danych ani z Ewidencji ani z KAS.</w:t>
            </w:r>
          </w:p>
        </w:tc>
        <w:tc>
          <w:tcPr>
            <w:tcW w:w="4160" w:type="dxa"/>
          </w:tcPr>
          <w:p w14:paraId="0804989C" w14:textId="77777777" w:rsidR="0099084C" w:rsidRPr="00BC2B80" w:rsidRDefault="00BC2B80" w:rsidP="0099084C">
            <w:pPr>
              <w:spacing w:before="120" w:after="120"/>
              <w:jc w:val="both"/>
              <w:rPr>
                <w:rFonts w:ascii="Times New Roman" w:hAnsi="Times New Roman" w:cs="Times New Roman"/>
                <w:sz w:val="20"/>
                <w:u w:val="single"/>
              </w:rPr>
            </w:pPr>
            <w:r w:rsidRPr="00BC2B80">
              <w:rPr>
                <w:rFonts w:ascii="Times New Roman" w:hAnsi="Times New Roman" w:cs="Times New Roman"/>
                <w:sz w:val="20"/>
                <w:u w:val="single"/>
              </w:rPr>
              <w:t>Komentarz do uwagi</w:t>
            </w:r>
          </w:p>
          <w:p w14:paraId="29CF1DE2" w14:textId="7A743A66" w:rsidR="00BC2B80" w:rsidRPr="008B735E" w:rsidRDefault="00BC2B80" w:rsidP="0099084C">
            <w:pPr>
              <w:spacing w:before="120" w:after="120"/>
              <w:jc w:val="both"/>
              <w:rPr>
                <w:rFonts w:ascii="Times New Roman" w:hAnsi="Times New Roman" w:cs="Times New Roman"/>
                <w:sz w:val="20"/>
              </w:rPr>
            </w:pPr>
            <w:r w:rsidRPr="00BC2B80">
              <w:rPr>
                <w:rFonts w:ascii="Times New Roman" w:hAnsi="Times New Roman" w:cs="Times New Roman"/>
                <w:sz w:val="20"/>
              </w:rPr>
              <w:t>W tym kontekście aktualne pozostają dotychczasowe wyjaśnienia przedstawione w</w:t>
            </w:r>
            <w:r w:rsidR="00CE6450">
              <w:rPr>
                <w:rFonts w:ascii="Times New Roman" w:hAnsi="Times New Roman" w:cs="Times New Roman"/>
                <w:sz w:val="20"/>
              </w:rPr>
              <w:t> </w:t>
            </w:r>
            <w:r w:rsidRPr="00BC2B80">
              <w:rPr>
                <w:rFonts w:ascii="Times New Roman" w:hAnsi="Times New Roman" w:cs="Times New Roman"/>
                <w:sz w:val="20"/>
              </w:rPr>
              <w:t xml:space="preserve">odpowiedzi na uwagę </w:t>
            </w:r>
            <w:r>
              <w:rPr>
                <w:rFonts w:ascii="Times New Roman" w:hAnsi="Times New Roman" w:cs="Times New Roman"/>
                <w:sz w:val="20"/>
              </w:rPr>
              <w:t>ZBP</w:t>
            </w:r>
            <w:r w:rsidRPr="00BC2B80">
              <w:rPr>
                <w:rFonts w:ascii="Times New Roman" w:hAnsi="Times New Roman" w:cs="Times New Roman"/>
                <w:sz w:val="20"/>
              </w:rPr>
              <w:t xml:space="preserve"> </w:t>
            </w:r>
            <w:r w:rsidRPr="00CE6450">
              <w:rPr>
                <w:rFonts w:ascii="Times New Roman" w:hAnsi="Times New Roman" w:cs="Times New Roman"/>
                <w:sz w:val="20"/>
              </w:rPr>
              <w:t>zatytułowaną „</w:t>
            </w:r>
            <w:r w:rsidR="00CE6450" w:rsidRPr="00CE6450">
              <w:rPr>
                <w:rFonts w:ascii="Times New Roman" w:hAnsi="Times New Roman" w:cs="Times New Roman"/>
                <w:sz w:val="20"/>
              </w:rPr>
              <w:t>Elektroniczna Karta Nieruchomości</w:t>
            </w:r>
            <w:r w:rsidRPr="00CE6450">
              <w:rPr>
                <w:rFonts w:ascii="Times New Roman" w:hAnsi="Times New Roman" w:cs="Times New Roman"/>
                <w:sz w:val="20"/>
              </w:rPr>
              <w:t>”.</w:t>
            </w:r>
          </w:p>
        </w:tc>
      </w:tr>
      <w:tr w:rsidR="0099084C" w:rsidRPr="00FF4480" w14:paraId="05AAFE12" w14:textId="77777777" w:rsidTr="00E9565F">
        <w:trPr>
          <w:jc w:val="center"/>
        </w:trPr>
        <w:tc>
          <w:tcPr>
            <w:tcW w:w="554" w:type="dxa"/>
          </w:tcPr>
          <w:p w14:paraId="73365961"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070FD621" w14:textId="61A7901C"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05965515" w14:textId="23D67196"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1 pkt 1</w:t>
            </w:r>
          </w:p>
        </w:tc>
        <w:tc>
          <w:tcPr>
            <w:tcW w:w="5670" w:type="dxa"/>
            <w:vAlign w:val="center"/>
          </w:tcPr>
          <w:p w14:paraId="734AB6BB" w14:textId="4FA18D42" w:rsidR="0099084C" w:rsidRPr="00ED4A2B" w:rsidRDefault="0099084C" w:rsidP="0099084C">
            <w:pPr>
              <w:spacing w:before="120" w:after="120"/>
              <w:jc w:val="both"/>
              <w:rPr>
                <w:rFonts w:ascii="Times New Roman" w:hAnsi="Times New Roman" w:cs="Times New Roman"/>
                <w:sz w:val="20"/>
              </w:rPr>
            </w:pPr>
            <w:r w:rsidRPr="00F44798">
              <w:rPr>
                <w:rFonts w:ascii="Times New Roman" w:hAnsi="Times New Roman" w:cs="Times New Roman"/>
                <w:sz w:val="20"/>
              </w:rPr>
              <w:t>Pytanie komu, gdyż instytucjom centralnym przekazuje wyłącznie przetworzone dane statystyczne.</w:t>
            </w:r>
          </w:p>
        </w:tc>
        <w:tc>
          <w:tcPr>
            <w:tcW w:w="4160" w:type="dxa"/>
          </w:tcPr>
          <w:p w14:paraId="66F6F270" w14:textId="77777777" w:rsidR="00F47635" w:rsidRPr="00BC2B80" w:rsidRDefault="00F47635" w:rsidP="00F47635">
            <w:pPr>
              <w:spacing w:before="120" w:after="120"/>
              <w:jc w:val="both"/>
              <w:rPr>
                <w:rFonts w:ascii="Times New Roman" w:hAnsi="Times New Roman" w:cs="Times New Roman"/>
                <w:sz w:val="20"/>
                <w:u w:val="single"/>
              </w:rPr>
            </w:pPr>
            <w:r w:rsidRPr="00BC2B80">
              <w:rPr>
                <w:rFonts w:ascii="Times New Roman" w:hAnsi="Times New Roman" w:cs="Times New Roman"/>
                <w:sz w:val="20"/>
                <w:u w:val="single"/>
              </w:rPr>
              <w:t>Komentarz do uwagi</w:t>
            </w:r>
          </w:p>
          <w:p w14:paraId="1451154E" w14:textId="4FFF1F31" w:rsidR="00CE6450" w:rsidRPr="008B735E" w:rsidRDefault="00F47635" w:rsidP="0099084C">
            <w:pPr>
              <w:spacing w:before="120" w:after="120"/>
              <w:jc w:val="both"/>
              <w:rPr>
                <w:rFonts w:ascii="Times New Roman" w:hAnsi="Times New Roman" w:cs="Times New Roman"/>
                <w:sz w:val="20"/>
              </w:rPr>
            </w:pPr>
            <w:r>
              <w:rPr>
                <w:rFonts w:ascii="Times New Roman" w:hAnsi="Times New Roman" w:cs="Times New Roman"/>
                <w:sz w:val="20"/>
              </w:rPr>
              <w:t>Przepis stanowi o udostępnianiu tych informacji ogółowi społeczeństwa.</w:t>
            </w:r>
          </w:p>
        </w:tc>
      </w:tr>
      <w:tr w:rsidR="0099084C" w:rsidRPr="00FF4480" w14:paraId="104C21A2" w14:textId="77777777" w:rsidTr="00E9565F">
        <w:trPr>
          <w:jc w:val="center"/>
        </w:trPr>
        <w:tc>
          <w:tcPr>
            <w:tcW w:w="554" w:type="dxa"/>
          </w:tcPr>
          <w:p w14:paraId="3C41D950"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453AAF6C" w14:textId="687B38A7"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7768A882" w14:textId="141BA4E1"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1 pkt 4</w:t>
            </w:r>
          </w:p>
        </w:tc>
        <w:tc>
          <w:tcPr>
            <w:tcW w:w="5670" w:type="dxa"/>
            <w:vAlign w:val="center"/>
          </w:tcPr>
          <w:p w14:paraId="0515811C" w14:textId="4800D307" w:rsidR="0099084C" w:rsidRPr="00F44798" w:rsidRDefault="0099084C" w:rsidP="0099084C">
            <w:pPr>
              <w:spacing w:before="120" w:after="120"/>
              <w:jc w:val="both"/>
              <w:rPr>
                <w:rFonts w:ascii="Times New Roman" w:hAnsi="Times New Roman" w:cs="Times New Roman"/>
                <w:sz w:val="20"/>
              </w:rPr>
            </w:pPr>
            <w:r w:rsidRPr="00F44798">
              <w:rPr>
                <w:rFonts w:ascii="Times New Roman" w:hAnsi="Times New Roman" w:cs="Times New Roman"/>
                <w:sz w:val="20"/>
              </w:rPr>
              <w:t>Taki zapis zapowiada utworzenie nowego podmiotu zajmującego się statystyką w zakresie obrotu mieszkaniami i domami jednorodzinnymi, nie ma natomiast w projekcie zasad przekazywania informacji do Głównego Urzędu Statystycznego. Pojawia się ryzyko podwójnego obiegu analiz statystycznych rynku mieszkaniowego.</w:t>
            </w:r>
          </w:p>
        </w:tc>
        <w:tc>
          <w:tcPr>
            <w:tcW w:w="4160" w:type="dxa"/>
          </w:tcPr>
          <w:p w14:paraId="1BE2964B" w14:textId="77777777" w:rsidR="0099084C" w:rsidRPr="00FA122E" w:rsidRDefault="00FA122E" w:rsidP="0099084C">
            <w:pPr>
              <w:spacing w:before="120" w:after="120"/>
              <w:jc w:val="both"/>
              <w:rPr>
                <w:rFonts w:ascii="Times New Roman" w:hAnsi="Times New Roman" w:cs="Times New Roman"/>
                <w:sz w:val="20"/>
                <w:u w:val="single"/>
              </w:rPr>
            </w:pPr>
            <w:r w:rsidRPr="00FA122E">
              <w:rPr>
                <w:rFonts w:ascii="Times New Roman" w:hAnsi="Times New Roman" w:cs="Times New Roman"/>
                <w:sz w:val="20"/>
                <w:u w:val="single"/>
              </w:rPr>
              <w:t>Komentarz do uwagi</w:t>
            </w:r>
          </w:p>
          <w:p w14:paraId="2506C8A5" w14:textId="1665C24F" w:rsidR="00FA122E" w:rsidRPr="008B735E" w:rsidRDefault="00FA122E" w:rsidP="0099084C">
            <w:pPr>
              <w:spacing w:before="120" w:after="120"/>
              <w:jc w:val="both"/>
              <w:rPr>
                <w:rFonts w:ascii="Times New Roman" w:hAnsi="Times New Roman" w:cs="Times New Roman"/>
                <w:sz w:val="20"/>
              </w:rPr>
            </w:pPr>
            <w:r>
              <w:rPr>
                <w:rFonts w:ascii="Times New Roman" w:hAnsi="Times New Roman" w:cs="Times New Roman"/>
                <w:sz w:val="20"/>
              </w:rPr>
              <w:t>Projekt nie ma takich ambicji.</w:t>
            </w:r>
            <w:r w:rsidR="00F47635">
              <w:rPr>
                <w:rFonts w:ascii="Times New Roman" w:hAnsi="Times New Roman" w:cs="Times New Roman"/>
                <w:sz w:val="20"/>
              </w:rPr>
              <w:t xml:space="preserve"> Odnosząc się do drugiej uwagi, zgodnie z projektowanymi przepisami udostępnianie informacji Prezesowi GUS odbywa się </w:t>
            </w:r>
            <w:r w:rsidR="00F47635" w:rsidRPr="00F47635">
              <w:rPr>
                <w:rFonts w:ascii="Times New Roman" w:hAnsi="Times New Roman" w:cs="Times New Roman"/>
                <w:sz w:val="20"/>
              </w:rPr>
              <w:t>na zasadach określonych w</w:t>
            </w:r>
            <w:r w:rsidR="00F47635">
              <w:rPr>
                <w:rFonts w:ascii="Times New Roman" w:hAnsi="Times New Roman" w:cs="Times New Roman"/>
                <w:sz w:val="20"/>
              </w:rPr>
              <w:t> </w:t>
            </w:r>
            <w:r w:rsidR="00F47635" w:rsidRPr="00F47635">
              <w:rPr>
                <w:rFonts w:ascii="Times New Roman" w:hAnsi="Times New Roman" w:cs="Times New Roman"/>
                <w:sz w:val="20"/>
              </w:rPr>
              <w:t>art.</w:t>
            </w:r>
            <w:r w:rsidR="00F47635">
              <w:rPr>
                <w:rFonts w:ascii="Times New Roman" w:hAnsi="Times New Roman" w:cs="Times New Roman"/>
                <w:sz w:val="20"/>
              </w:rPr>
              <w:t> </w:t>
            </w:r>
            <w:r w:rsidR="00F47635" w:rsidRPr="00F47635">
              <w:rPr>
                <w:rFonts w:ascii="Times New Roman" w:hAnsi="Times New Roman" w:cs="Times New Roman"/>
                <w:sz w:val="20"/>
              </w:rPr>
              <w:t>13 ust. 1 ustawy z dnia 29 czerwca 1995 r. o statystyce publicznej</w:t>
            </w:r>
            <w:r w:rsidR="00F47635">
              <w:rPr>
                <w:rFonts w:ascii="Times New Roman" w:hAnsi="Times New Roman" w:cs="Times New Roman"/>
                <w:sz w:val="20"/>
              </w:rPr>
              <w:t>.</w:t>
            </w:r>
          </w:p>
        </w:tc>
      </w:tr>
      <w:tr w:rsidR="0099084C" w:rsidRPr="00FF4480" w14:paraId="5E4CD9BB" w14:textId="77777777" w:rsidTr="00E9565F">
        <w:trPr>
          <w:jc w:val="center"/>
        </w:trPr>
        <w:tc>
          <w:tcPr>
            <w:tcW w:w="554" w:type="dxa"/>
          </w:tcPr>
          <w:p w14:paraId="37CDE737"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12C0537" w14:textId="651B900E"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40D0FFD3" w14:textId="50D6E5AF"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2</w:t>
            </w:r>
          </w:p>
        </w:tc>
        <w:tc>
          <w:tcPr>
            <w:tcW w:w="5670" w:type="dxa"/>
            <w:vAlign w:val="center"/>
          </w:tcPr>
          <w:p w14:paraId="2CF30A69" w14:textId="40EEFAE4" w:rsidR="0099084C" w:rsidRPr="00F44798" w:rsidRDefault="0099084C" w:rsidP="0099084C">
            <w:pPr>
              <w:spacing w:before="120" w:after="120"/>
              <w:jc w:val="both"/>
              <w:rPr>
                <w:rFonts w:ascii="Times New Roman" w:hAnsi="Times New Roman" w:cs="Times New Roman"/>
                <w:sz w:val="20"/>
              </w:rPr>
            </w:pPr>
            <w:r w:rsidRPr="004A5D09">
              <w:rPr>
                <w:rFonts w:ascii="Times New Roman" w:hAnsi="Times New Roman" w:cs="Times New Roman"/>
                <w:sz w:val="20"/>
              </w:rPr>
              <w:t>Proponuje się dodanie przed kropką zdania „oraz współpracuje z zewnętrzną (międzybankową) bazą danych o rynku nieruchomości, o której mowa w Rekomendacja J Komisji Nadzoru Finansowego dotyczącej zasad gromadzenia i przetwarzania przez banki danych o nieruchomościach.”</w:t>
            </w:r>
          </w:p>
        </w:tc>
        <w:tc>
          <w:tcPr>
            <w:tcW w:w="4160" w:type="dxa"/>
          </w:tcPr>
          <w:p w14:paraId="5349DA6F" w14:textId="77777777" w:rsidR="0099084C" w:rsidRPr="000A7202" w:rsidRDefault="000A7202" w:rsidP="0099084C">
            <w:pPr>
              <w:spacing w:before="120" w:after="120"/>
              <w:jc w:val="both"/>
              <w:rPr>
                <w:rFonts w:ascii="Times New Roman" w:hAnsi="Times New Roman" w:cs="Times New Roman"/>
                <w:b/>
                <w:bCs/>
                <w:sz w:val="20"/>
              </w:rPr>
            </w:pPr>
            <w:r w:rsidRPr="000A7202">
              <w:rPr>
                <w:rFonts w:ascii="Times New Roman" w:hAnsi="Times New Roman" w:cs="Times New Roman"/>
                <w:b/>
                <w:bCs/>
                <w:sz w:val="20"/>
              </w:rPr>
              <w:t>Uwaga nieuwzględniona</w:t>
            </w:r>
          </w:p>
          <w:p w14:paraId="02E31FF0" w14:textId="00E2D8E5" w:rsidR="000A7202" w:rsidRPr="008B735E" w:rsidRDefault="001D30B6" w:rsidP="001D30B6">
            <w:pPr>
              <w:spacing w:before="120" w:after="120"/>
              <w:jc w:val="both"/>
              <w:rPr>
                <w:rFonts w:ascii="Times New Roman" w:hAnsi="Times New Roman" w:cs="Times New Roman"/>
                <w:sz w:val="20"/>
              </w:rPr>
            </w:pPr>
            <w:r>
              <w:rPr>
                <w:rFonts w:ascii="Times New Roman" w:hAnsi="Times New Roman" w:cs="Times New Roman"/>
                <w:sz w:val="20"/>
              </w:rPr>
              <w:t>Uwaga niezrozumiała w kontekście brzmienia przepisu, do którego się odnosi.</w:t>
            </w:r>
          </w:p>
        </w:tc>
      </w:tr>
      <w:tr w:rsidR="0099084C" w:rsidRPr="00FF4480" w14:paraId="6BA5CA18" w14:textId="77777777" w:rsidTr="00E9565F">
        <w:trPr>
          <w:jc w:val="center"/>
        </w:trPr>
        <w:tc>
          <w:tcPr>
            <w:tcW w:w="554" w:type="dxa"/>
          </w:tcPr>
          <w:p w14:paraId="1B9181EB"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831CB25" w14:textId="41614A38"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694B1BD0" w14:textId="411994A3" w:rsidR="0099084C" w:rsidRPr="00721C84" w:rsidRDefault="0099084C" w:rsidP="0099084C">
            <w:pPr>
              <w:spacing w:before="120" w:after="120"/>
              <w:jc w:val="center"/>
              <w:rPr>
                <w:rFonts w:ascii="Times New Roman" w:hAnsi="Times New Roman" w:cs="Times New Roman"/>
                <w:sz w:val="20"/>
              </w:rPr>
            </w:pPr>
            <w:r w:rsidRPr="00721C84">
              <w:rPr>
                <w:rFonts w:ascii="Times New Roman" w:hAnsi="Times New Roman" w:cs="Times New Roman"/>
                <w:sz w:val="20"/>
              </w:rPr>
              <w:t>Art. 1 pkt 6 w</w:t>
            </w:r>
            <w:r>
              <w:rPr>
                <w:rFonts w:ascii="Times New Roman" w:hAnsi="Times New Roman" w:cs="Times New Roman"/>
                <w:sz w:val="20"/>
              </w:rPr>
              <w:t> </w:t>
            </w:r>
            <w:r w:rsidRPr="00721C84">
              <w:rPr>
                <w:rFonts w:ascii="Times New Roman" w:hAnsi="Times New Roman" w:cs="Times New Roman"/>
                <w:sz w:val="20"/>
              </w:rPr>
              <w:t>zakresie art. 56</w:t>
            </w:r>
            <w:r>
              <w:rPr>
                <w:rFonts w:ascii="Times New Roman" w:hAnsi="Times New Roman" w:cs="Times New Roman"/>
                <w:sz w:val="20"/>
              </w:rPr>
              <w:t>c</w:t>
            </w:r>
            <w:r w:rsidRPr="00721C84">
              <w:rPr>
                <w:rFonts w:ascii="Times New Roman" w:hAnsi="Times New Roman" w:cs="Times New Roman"/>
                <w:sz w:val="20"/>
              </w:rPr>
              <w:t xml:space="preserve"> ust. </w:t>
            </w:r>
            <w:r>
              <w:rPr>
                <w:rFonts w:ascii="Times New Roman" w:hAnsi="Times New Roman" w:cs="Times New Roman"/>
                <w:sz w:val="20"/>
              </w:rPr>
              <w:t>3 w zw. z </w:t>
            </w:r>
            <w:r w:rsidRPr="002C69E0">
              <w:rPr>
                <w:rFonts w:ascii="Times New Roman" w:hAnsi="Times New Roman" w:cs="Times New Roman"/>
                <w:sz w:val="20"/>
              </w:rPr>
              <w:t>art.</w:t>
            </w:r>
            <w:r>
              <w:rPr>
                <w:rFonts w:ascii="Times New Roman" w:hAnsi="Times New Roman" w:cs="Times New Roman"/>
                <w:sz w:val="20"/>
              </w:rPr>
              <w:t> 1</w:t>
            </w:r>
            <w:r w:rsidRPr="002C69E0">
              <w:rPr>
                <w:rFonts w:ascii="Times New Roman" w:hAnsi="Times New Roman" w:cs="Times New Roman"/>
                <w:sz w:val="20"/>
              </w:rPr>
              <w:t xml:space="preserve"> </w:t>
            </w:r>
            <w:r>
              <w:rPr>
                <w:rFonts w:ascii="Times New Roman" w:hAnsi="Times New Roman" w:cs="Times New Roman"/>
                <w:sz w:val="20"/>
              </w:rPr>
              <w:t>pkt 7</w:t>
            </w:r>
          </w:p>
        </w:tc>
        <w:tc>
          <w:tcPr>
            <w:tcW w:w="5670" w:type="dxa"/>
            <w:vAlign w:val="center"/>
          </w:tcPr>
          <w:p w14:paraId="0176DE72" w14:textId="42EF0B33" w:rsidR="0099084C" w:rsidRPr="002C69E0"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Przepis zabrania wykorzystywania przez UFG (pracowników UFG) danych pozyskanych w ramach Portalu DOM poza celami przewidzianymi ustawą. Nowelizacja nie prowadza żadnych przepisów karnych za złamanie w/w zakazu, w przeciwieństwie do kar nałożonych na podmioty zobowiązane do przekazywania danych do portalu DOM, a nie wypełniających tego obowiązku (zmiana przewidziana w art.1 pkt 7).</w:t>
            </w:r>
          </w:p>
        </w:tc>
        <w:tc>
          <w:tcPr>
            <w:tcW w:w="4160" w:type="dxa"/>
          </w:tcPr>
          <w:p w14:paraId="36090FAE" w14:textId="77777777" w:rsidR="0099084C" w:rsidRPr="001D30B6" w:rsidRDefault="001D30B6" w:rsidP="0099084C">
            <w:pPr>
              <w:spacing w:before="120" w:after="120"/>
              <w:jc w:val="both"/>
              <w:rPr>
                <w:rFonts w:ascii="Times New Roman" w:hAnsi="Times New Roman" w:cs="Times New Roman"/>
                <w:sz w:val="20"/>
                <w:u w:val="single"/>
              </w:rPr>
            </w:pPr>
            <w:r w:rsidRPr="001D30B6">
              <w:rPr>
                <w:rFonts w:ascii="Times New Roman" w:hAnsi="Times New Roman" w:cs="Times New Roman"/>
                <w:sz w:val="20"/>
                <w:u w:val="single"/>
              </w:rPr>
              <w:t>Komentarz do uwagi</w:t>
            </w:r>
          </w:p>
          <w:p w14:paraId="484073C3" w14:textId="5F24F9FE" w:rsidR="001D30B6" w:rsidRPr="00D71B0F" w:rsidRDefault="00DA7833" w:rsidP="0099084C">
            <w:pPr>
              <w:spacing w:before="120" w:after="120"/>
              <w:jc w:val="both"/>
              <w:rPr>
                <w:rFonts w:ascii="Times New Roman" w:hAnsi="Times New Roman" w:cs="Times New Roman"/>
                <w:sz w:val="20"/>
              </w:rPr>
            </w:pPr>
            <w:r>
              <w:rPr>
                <w:rFonts w:ascii="Times New Roman" w:hAnsi="Times New Roman" w:cs="Times New Roman"/>
                <w:sz w:val="20"/>
              </w:rPr>
              <w:t xml:space="preserve">Przepis jest efektem uzgodnień dokonanych podczas konferencji uzgodnieniowej w celu wzmocnienia ochrony danych osobowych. </w:t>
            </w:r>
            <w:r w:rsidRPr="00DA7833">
              <w:rPr>
                <w:rFonts w:ascii="Times New Roman" w:hAnsi="Times New Roman" w:cs="Times New Roman"/>
                <w:sz w:val="20"/>
              </w:rPr>
              <w:t xml:space="preserve">Brzmienie przepisu zostało skonstruowane analogicznie do obowiązującego już w systemie zmienianej ustawy – w kontekście Ewidencji </w:t>
            </w:r>
            <w:r w:rsidRPr="00DA7833">
              <w:rPr>
                <w:rFonts w:ascii="Times New Roman" w:hAnsi="Times New Roman" w:cs="Times New Roman"/>
                <w:sz w:val="20"/>
              </w:rPr>
              <w:lastRenderedPageBreak/>
              <w:t>Deweloperskiego Funduszu Gwarancyjnego – art. 51 ust. 5.</w:t>
            </w:r>
            <w:r>
              <w:rPr>
                <w:rFonts w:ascii="Times New Roman" w:hAnsi="Times New Roman" w:cs="Times New Roman"/>
                <w:sz w:val="20"/>
              </w:rPr>
              <w:t xml:space="preserve"> Naruszenie będzie oceniane na zasadach ogólnych, podobnie jak w przypadku już obowiązującego przepisu.</w:t>
            </w:r>
          </w:p>
        </w:tc>
      </w:tr>
      <w:tr w:rsidR="0099084C" w:rsidRPr="00FF4480" w14:paraId="53DADB11" w14:textId="77777777" w:rsidTr="00E9565F">
        <w:trPr>
          <w:jc w:val="center"/>
        </w:trPr>
        <w:tc>
          <w:tcPr>
            <w:tcW w:w="554" w:type="dxa"/>
          </w:tcPr>
          <w:p w14:paraId="664C5167"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18DBD462" w14:textId="2BF442E4" w:rsidR="0099084C" w:rsidRPr="00247963" w:rsidRDefault="0099084C" w:rsidP="0099084C">
            <w:pPr>
              <w:spacing w:before="120" w:after="120"/>
              <w:rPr>
                <w:rFonts w:ascii="Times New Roman" w:hAnsi="Times New Roman" w:cs="Times New Roman"/>
                <w:sz w:val="20"/>
              </w:rPr>
            </w:pPr>
            <w:r w:rsidRPr="00ED4A2B">
              <w:rPr>
                <w:rFonts w:ascii="Times New Roman" w:hAnsi="Times New Roman" w:cs="Times New Roman"/>
                <w:sz w:val="20"/>
                <w:szCs w:val="20"/>
              </w:rPr>
              <w:t>Związek Banków Polskich</w:t>
            </w:r>
          </w:p>
        </w:tc>
        <w:tc>
          <w:tcPr>
            <w:tcW w:w="1905" w:type="dxa"/>
            <w:vAlign w:val="center"/>
          </w:tcPr>
          <w:p w14:paraId="446F5FA9" w14:textId="137E8D01" w:rsidR="0099084C" w:rsidRPr="00721C84" w:rsidRDefault="0099084C" w:rsidP="0099084C">
            <w:pPr>
              <w:spacing w:before="120" w:after="120"/>
              <w:jc w:val="center"/>
              <w:rPr>
                <w:rFonts w:ascii="Times New Roman" w:hAnsi="Times New Roman" w:cs="Times New Roman"/>
                <w:sz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3</w:t>
            </w:r>
          </w:p>
        </w:tc>
        <w:tc>
          <w:tcPr>
            <w:tcW w:w="5670" w:type="dxa"/>
            <w:vAlign w:val="center"/>
          </w:tcPr>
          <w:p w14:paraId="589B5804" w14:textId="77777777" w:rsidR="0099084C" w:rsidRPr="004A5D09" w:rsidRDefault="0099084C" w:rsidP="0099084C">
            <w:pPr>
              <w:spacing w:before="120" w:after="120"/>
              <w:jc w:val="both"/>
              <w:rPr>
                <w:rFonts w:ascii="Times New Roman" w:hAnsi="Times New Roman" w:cs="Times New Roman"/>
                <w:sz w:val="20"/>
              </w:rPr>
            </w:pPr>
            <w:r w:rsidRPr="004A5D09">
              <w:rPr>
                <w:rFonts w:ascii="Times New Roman" w:hAnsi="Times New Roman" w:cs="Times New Roman"/>
                <w:sz w:val="20"/>
              </w:rPr>
              <w:t>W ust. 3  art. 56c brzmi napisano „Ubezpieczeniowy Fundusz Gwarancyjny oraz osoby w nim zatrudnione, którym w związku z prowadzeniem Portalu DOM udzielono danych i informacji objętych ochroną danych osobowych lub tajemnicą skarbową lub je ujawniono, mogą wykorzystać te dane i informacje wyłącznie w celu realizacji zadań określonych w niniejszym rozdziale”, natomiast w art. 51 w ust. 5 ustawy z dnia 20 maja 2021 r. o ochronie praw nabywcy lokalu mieszkalnego lub domu jednorodzinnego oraz Deweloperskim Funduszu Gwarancyjnym napisano „Ubezpieczeniowy Fundusz Gwarancyjny oraz osoby w nim zatrudnione, którym zgodnie z ust. 1 pkt 1 udzielono informacji objętych tajemnicą bankową lub je ujawniono, mogą wykorzystać te informacje wyłącznie w celu realizacji zadań określonych w ustawie”.</w:t>
            </w:r>
          </w:p>
          <w:p w14:paraId="7FB5A8BD" w14:textId="116009A0" w:rsidR="0099084C" w:rsidRPr="009C1A83" w:rsidRDefault="0099084C" w:rsidP="0099084C">
            <w:pPr>
              <w:spacing w:before="120" w:after="120"/>
              <w:jc w:val="both"/>
              <w:rPr>
                <w:rFonts w:ascii="Times New Roman" w:hAnsi="Times New Roman" w:cs="Times New Roman"/>
                <w:sz w:val="20"/>
              </w:rPr>
            </w:pPr>
            <w:r w:rsidRPr="004A5D09">
              <w:rPr>
                <w:rFonts w:ascii="Times New Roman" w:hAnsi="Times New Roman" w:cs="Times New Roman"/>
                <w:sz w:val="20"/>
              </w:rPr>
              <w:t>Oczywiście postanowienia art. 51 ust. 1 ustawy zmienianej mają zastosowanie również w zakresie Portalu DOM, ale jeżeli informacje gromadzone w portalu DOM, który prowadzić będzie Ubezpieczeniowy Fundusz Gwarancyjny, pochodzą od banków, nawet pośrednio, bo wcześniej zostały przekazane do Ewidencji prowadzonej przez ten fundusz, to stanowią tajemnicę bankową, nawet jeżeli będą to dane osobowe, i nawet jeżeli nie ma wprost w treści powiązania z ww. przepisem. Niemniej jednak dane osobowe klientów banku są elementem informacji stanowiących tajemnicę bankową, a tym samym przepisy ustawy - Prawo bankowe przewidują dalej idącą ich ochronę. Postanowienia art. 56c ust. 4 pkt 3, w których nie wspomina się o tajemnicy bankowej i nie powiązania z art. 51 ust. 5 ustawy zmienianej, wydają się zawężone i powinny uwzględniać również tajemnice prawnie chronione wskazane w art. 51 ust. 5 ustawy z dnia 20 maja 2021 r. o ochronie praw nabywcy lokalu mieszkalnego lub domu</w:t>
            </w:r>
            <w:r>
              <w:rPr>
                <w:rFonts w:ascii="Times New Roman" w:hAnsi="Times New Roman" w:cs="Times New Roman"/>
                <w:sz w:val="20"/>
              </w:rPr>
              <w:t xml:space="preserve"> </w:t>
            </w:r>
            <w:r w:rsidRPr="004A5D09">
              <w:rPr>
                <w:rFonts w:ascii="Times New Roman" w:hAnsi="Times New Roman" w:cs="Times New Roman"/>
                <w:sz w:val="20"/>
              </w:rPr>
              <w:t xml:space="preserve">jednorodzinnego oraz Deweloperskim Funduszu Gwarancyjnym, tj. tajemnicę bankową, szczególnie że zgodnie z art. 105 ust. 2 lit. </w:t>
            </w:r>
            <w:proofErr w:type="spellStart"/>
            <w:r w:rsidRPr="004A5D09">
              <w:rPr>
                <w:rFonts w:ascii="Times New Roman" w:hAnsi="Times New Roman" w:cs="Times New Roman"/>
                <w:sz w:val="20"/>
              </w:rPr>
              <w:t>zd</w:t>
            </w:r>
            <w:proofErr w:type="spellEnd"/>
            <w:r w:rsidRPr="004A5D09">
              <w:rPr>
                <w:rFonts w:ascii="Times New Roman" w:hAnsi="Times New Roman" w:cs="Times New Roman"/>
                <w:sz w:val="20"/>
              </w:rPr>
              <w:t xml:space="preserve"> ustawy - Prawo bankowe, banki mają obowiązek udzielania informacji stanowiących tajemnicę bankową na żądanie Ubezpieczeniowego Funduszu </w:t>
            </w:r>
            <w:r w:rsidRPr="004A5D09">
              <w:rPr>
                <w:rFonts w:ascii="Times New Roman" w:hAnsi="Times New Roman" w:cs="Times New Roman"/>
                <w:sz w:val="20"/>
              </w:rPr>
              <w:lastRenderedPageBreak/>
              <w:t>Gwarancyjnego w zakresie określonym ustawą z dnia 20 maja 2021 r. o ochronie praw nabywcy lokalu mieszkalnego lub domu jednorodzinnego oraz Deweloperskim Funduszu Gwarancyjnym oraz upoważnionym pracownikom tego funduszu w zakresie określonym w upoważnieniu.</w:t>
            </w:r>
          </w:p>
        </w:tc>
        <w:tc>
          <w:tcPr>
            <w:tcW w:w="4160" w:type="dxa"/>
          </w:tcPr>
          <w:p w14:paraId="2B300767" w14:textId="77777777" w:rsidR="0099084C" w:rsidRPr="00563281" w:rsidRDefault="00563281" w:rsidP="0099084C">
            <w:pPr>
              <w:spacing w:before="120" w:after="120"/>
              <w:jc w:val="both"/>
              <w:rPr>
                <w:rFonts w:ascii="Times New Roman" w:hAnsi="Times New Roman" w:cs="Times New Roman"/>
                <w:b/>
                <w:bCs/>
                <w:sz w:val="20"/>
              </w:rPr>
            </w:pPr>
            <w:r w:rsidRPr="00563281">
              <w:rPr>
                <w:rFonts w:ascii="Times New Roman" w:hAnsi="Times New Roman" w:cs="Times New Roman"/>
                <w:b/>
                <w:bCs/>
                <w:sz w:val="20"/>
              </w:rPr>
              <w:lastRenderedPageBreak/>
              <w:t>Uwaga nieuwzględniona</w:t>
            </w:r>
          </w:p>
          <w:p w14:paraId="77174C66" w14:textId="53C9B92A" w:rsidR="00563281" w:rsidRPr="008B735E" w:rsidRDefault="00B75097" w:rsidP="0099084C">
            <w:pPr>
              <w:spacing w:before="120" w:after="120"/>
              <w:jc w:val="both"/>
              <w:rPr>
                <w:rFonts w:ascii="Times New Roman" w:hAnsi="Times New Roman" w:cs="Times New Roman"/>
                <w:sz w:val="20"/>
              </w:rPr>
            </w:pPr>
            <w:r>
              <w:rPr>
                <w:rFonts w:ascii="Times New Roman" w:hAnsi="Times New Roman" w:cs="Times New Roman"/>
                <w:sz w:val="20"/>
              </w:rPr>
              <w:t>Banki i inne instytucje finansowe nie będą obowiązane do zgłaszania danych i informacji do Portalu. W przypadku danych i informacji zgłaszanych do Ewidencji Deweloperskiego Funduszu Gwarancyjnego zastosowanie ma obowiązujący art. 51 ust. 5 ustawy zmienianej.</w:t>
            </w:r>
            <w:r w:rsidR="00F216C2">
              <w:rPr>
                <w:rFonts w:ascii="Times New Roman" w:hAnsi="Times New Roman" w:cs="Times New Roman"/>
                <w:sz w:val="20"/>
              </w:rPr>
              <w:t xml:space="preserve"> Jest on stosowany w kontekście wszystkich zadań wskazanych w tej ustawie, a zatem także w kontekście prowadzenia Portalu DOM.</w:t>
            </w:r>
          </w:p>
        </w:tc>
      </w:tr>
      <w:tr w:rsidR="0099084C" w:rsidRPr="00FF4480" w14:paraId="4C68353E" w14:textId="77777777" w:rsidTr="00E9565F">
        <w:trPr>
          <w:jc w:val="center"/>
        </w:trPr>
        <w:tc>
          <w:tcPr>
            <w:tcW w:w="554" w:type="dxa"/>
          </w:tcPr>
          <w:p w14:paraId="0DDB70AE"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67E787C" w14:textId="6CAB36BC"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2CE10C82" w14:textId="7F5FABA0"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3</w:t>
            </w:r>
          </w:p>
        </w:tc>
        <w:tc>
          <w:tcPr>
            <w:tcW w:w="5670" w:type="dxa"/>
            <w:vAlign w:val="center"/>
          </w:tcPr>
          <w:p w14:paraId="50A99A70" w14:textId="69BA4D14" w:rsidR="0099084C" w:rsidRPr="004A5D09" w:rsidRDefault="0099084C" w:rsidP="0099084C">
            <w:pPr>
              <w:spacing w:before="120" w:after="120"/>
              <w:jc w:val="both"/>
              <w:rPr>
                <w:rFonts w:ascii="Times New Roman" w:hAnsi="Times New Roman" w:cs="Times New Roman"/>
                <w:sz w:val="20"/>
              </w:rPr>
            </w:pPr>
            <w:r w:rsidRPr="004A5D09">
              <w:rPr>
                <w:rFonts w:ascii="Times New Roman" w:hAnsi="Times New Roman" w:cs="Times New Roman"/>
                <w:sz w:val="20"/>
              </w:rPr>
              <w:t>Celowym byłoby dopisanie po zastąpieniu kropki przecinkiem „lub innych przepisach prawa”.</w:t>
            </w:r>
          </w:p>
        </w:tc>
        <w:tc>
          <w:tcPr>
            <w:tcW w:w="4160" w:type="dxa"/>
          </w:tcPr>
          <w:p w14:paraId="55DEF5ED" w14:textId="77777777" w:rsidR="0099084C" w:rsidRPr="007E447F" w:rsidRDefault="007E447F" w:rsidP="0099084C">
            <w:pPr>
              <w:spacing w:before="120" w:after="120"/>
              <w:jc w:val="both"/>
              <w:rPr>
                <w:rFonts w:ascii="Times New Roman" w:hAnsi="Times New Roman" w:cs="Times New Roman"/>
                <w:b/>
                <w:bCs/>
                <w:sz w:val="20"/>
              </w:rPr>
            </w:pPr>
            <w:r w:rsidRPr="007E447F">
              <w:rPr>
                <w:rFonts w:ascii="Times New Roman" w:hAnsi="Times New Roman" w:cs="Times New Roman"/>
                <w:b/>
                <w:bCs/>
                <w:sz w:val="20"/>
              </w:rPr>
              <w:t>Uwaga nieuwzględniona</w:t>
            </w:r>
          </w:p>
          <w:p w14:paraId="159691E8" w14:textId="707E6EC7" w:rsidR="007E447F" w:rsidRPr="008B735E" w:rsidRDefault="007E447F" w:rsidP="007E447F">
            <w:pPr>
              <w:spacing w:before="120" w:after="120"/>
              <w:jc w:val="both"/>
              <w:rPr>
                <w:rFonts w:ascii="Times New Roman" w:hAnsi="Times New Roman" w:cs="Times New Roman"/>
                <w:sz w:val="20"/>
              </w:rPr>
            </w:pPr>
            <w:r w:rsidRPr="007E447F">
              <w:rPr>
                <w:rFonts w:ascii="Times New Roman" w:hAnsi="Times New Roman" w:cs="Times New Roman"/>
                <w:sz w:val="20"/>
              </w:rPr>
              <w:t>Przepis jest efektem uzgodnień dokonanych podczas konferencji uzgodnieniowej w celu wzmocnienia ochrony danych osobowych</w:t>
            </w:r>
            <w:r>
              <w:rPr>
                <w:rFonts w:ascii="Times New Roman" w:hAnsi="Times New Roman" w:cs="Times New Roman"/>
                <w:sz w:val="20"/>
              </w:rPr>
              <w:t>, w tym zapewnienia zgodności z RODO.</w:t>
            </w:r>
          </w:p>
        </w:tc>
      </w:tr>
      <w:tr w:rsidR="0099084C" w:rsidRPr="00FF4480" w14:paraId="37F05DAD" w14:textId="77777777" w:rsidTr="00E9565F">
        <w:trPr>
          <w:jc w:val="center"/>
        </w:trPr>
        <w:tc>
          <w:tcPr>
            <w:tcW w:w="554" w:type="dxa"/>
          </w:tcPr>
          <w:p w14:paraId="5D69A8D5"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97ED35D" w14:textId="7DF4F1E1"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517F6469" w14:textId="38F02F10"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3</w:t>
            </w:r>
          </w:p>
        </w:tc>
        <w:tc>
          <w:tcPr>
            <w:tcW w:w="5670" w:type="dxa"/>
            <w:vAlign w:val="center"/>
          </w:tcPr>
          <w:p w14:paraId="1F3BF0E1" w14:textId="61F28173" w:rsidR="0099084C" w:rsidRPr="004A5D09" w:rsidRDefault="0099084C" w:rsidP="0099084C">
            <w:pPr>
              <w:spacing w:before="120" w:after="120"/>
              <w:jc w:val="both"/>
              <w:rPr>
                <w:rFonts w:ascii="Times New Roman" w:hAnsi="Times New Roman" w:cs="Times New Roman"/>
                <w:sz w:val="20"/>
              </w:rPr>
            </w:pPr>
            <w:r w:rsidRPr="004A5D09">
              <w:rPr>
                <w:rFonts w:ascii="Times New Roman" w:hAnsi="Times New Roman" w:cs="Times New Roman"/>
                <w:sz w:val="20"/>
              </w:rPr>
              <w:t>Brak informacji o odpowiedzialności karnej</w:t>
            </w:r>
            <w:r>
              <w:rPr>
                <w:rFonts w:ascii="Times New Roman" w:hAnsi="Times New Roman" w:cs="Times New Roman"/>
                <w:sz w:val="20"/>
              </w:rPr>
              <w:t>.</w:t>
            </w:r>
          </w:p>
        </w:tc>
        <w:tc>
          <w:tcPr>
            <w:tcW w:w="4160" w:type="dxa"/>
          </w:tcPr>
          <w:p w14:paraId="3F22B723" w14:textId="77777777" w:rsidR="00FA059D" w:rsidRPr="001D30B6" w:rsidRDefault="00FA059D" w:rsidP="00FA059D">
            <w:pPr>
              <w:spacing w:before="120" w:after="120"/>
              <w:jc w:val="both"/>
              <w:rPr>
                <w:rFonts w:ascii="Times New Roman" w:hAnsi="Times New Roman" w:cs="Times New Roman"/>
                <w:sz w:val="20"/>
                <w:u w:val="single"/>
              </w:rPr>
            </w:pPr>
            <w:r w:rsidRPr="001D30B6">
              <w:rPr>
                <w:rFonts w:ascii="Times New Roman" w:hAnsi="Times New Roman" w:cs="Times New Roman"/>
                <w:sz w:val="20"/>
                <w:u w:val="single"/>
              </w:rPr>
              <w:t>Komentarz do uwagi</w:t>
            </w:r>
          </w:p>
          <w:p w14:paraId="5994AE52" w14:textId="31D898F3" w:rsidR="0099084C" w:rsidRPr="00397105" w:rsidRDefault="00FA059D" w:rsidP="00FA059D">
            <w:pPr>
              <w:spacing w:before="120" w:after="120"/>
              <w:jc w:val="both"/>
              <w:rPr>
                <w:rFonts w:ascii="Times New Roman" w:hAnsi="Times New Roman" w:cs="Times New Roman"/>
                <w:sz w:val="20"/>
                <w:u w:val="single"/>
              </w:rPr>
            </w:pPr>
            <w:r>
              <w:rPr>
                <w:rFonts w:ascii="Times New Roman" w:hAnsi="Times New Roman" w:cs="Times New Roman"/>
                <w:sz w:val="20"/>
              </w:rPr>
              <w:t xml:space="preserve">Przepis jest efektem uzgodnień dokonanych podczas konferencji uzgodnieniowej w celu wzmocnienia ochrony danych osobowych. </w:t>
            </w:r>
            <w:r w:rsidRPr="00DA7833">
              <w:rPr>
                <w:rFonts w:ascii="Times New Roman" w:hAnsi="Times New Roman" w:cs="Times New Roman"/>
                <w:sz w:val="20"/>
              </w:rPr>
              <w:t>Brzmienie przepisu zostało skonstruowane analogicznie do obowiązującego już w systemie zmienianej ustawy – w kontekście Ewidencji Deweloperskiego Funduszu Gwarancyjnego – art. 51 ust. 5.</w:t>
            </w:r>
            <w:r>
              <w:rPr>
                <w:rFonts w:ascii="Times New Roman" w:hAnsi="Times New Roman" w:cs="Times New Roman"/>
                <w:sz w:val="20"/>
              </w:rPr>
              <w:t xml:space="preserve"> Naruszenie będzie oceniane na zasadach ogólnych, podobnie jak w przypadku już obowiązującego przepisu.</w:t>
            </w:r>
          </w:p>
        </w:tc>
      </w:tr>
      <w:tr w:rsidR="0099084C" w:rsidRPr="00FF4480" w14:paraId="5E32D9DC" w14:textId="77777777" w:rsidTr="00E9565F">
        <w:trPr>
          <w:jc w:val="center"/>
        </w:trPr>
        <w:tc>
          <w:tcPr>
            <w:tcW w:w="554" w:type="dxa"/>
          </w:tcPr>
          <w:p w14:paraId="6B35921E"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01338BA7" w14:textId="0A1D1A3C" w:rsidR="0099084C" w:rsidRPr="00ED4A2B" w:rsidRDefault="0099084C" w:rsidP="0099084C">
            <w:pPr>
              <w:spacing w:before="120" w:after="120"/>
              <w:rPr>
                <w:rFonts w:ascii="Times New Roman" w:hAnsi="Times New Roman" w:cs="Times New Roman"/>
                <w:sz w:val="20"/>
                <w:szCs w:val="20"/>
              </w:rPr>
            </w:pPr>
            <w:r w:rsidRPr="00ED4A2B">
              <w:rPr>
                <w:rFonts w:ascii="Times New Roman" w:hAnsi="Times New Roman" w:cs="Times New Roman"/>
                <w:sz w:val="20"/>
                <w:szCs w:val="20"/>
              </w:rPr>
              <w:t>Związek Banków Polskich</w:t>
            </w:r>
          </w:p>
        </w:tc>
        <w:tc>
          <w:tcPr>
            <w:tcW w:w="1905" w:type="dxa"/>
            <w:vAlign w:val="center"/>
          </w:tcPr>
          <w:p w14:paraId="318137CC" w14:textId="4500C53F" w:rsidR="0099084C" w:rsidRPr="00ED4A2B" w:rsidRDefault="0099084C" w:rsidP="0099084C">
            <w:pPr>
              <w:spacing w:before="120" w:after="120"/>
              <w:jc w:val="center"/>
              <w:rPr>
                <w:rFonts w:ascii="Times New Roman" w:hAnsi="Times New Roman" w:cs="Times New Roman"/>
                <w:sz w:val="20"/>
                <w:szCs w:val="20"/>
              </w:rPr>
            </w:pPr>
            <w:r w:rsidRPr="00ED4A2B">
              <w:rPr>
                <w:rFonts w:ascii="Times New Roman" w:hAnsi="Times New Roman" w:cs="Times New Roman"/>
                <w:sz w:val="20"/>
                <w:szCs w:val="20"/>
              </w:rPr>
              <w:t>Art. 1 pkt 6 w</w:t>
            </w:r>
            <w:r>
              <w:rPr>
                <w:rFonts w:ascii="Times New Roman" w:hAnsi="Times New Roman" w:cs="Times New Roman"/>
                <w:sz w:val="20"/>
                <w:szCs w:val="20"/>
              </w:rPr>
              <w:t> </w:t>
            </w:r>
            <w:r w:rsidRPr="00ED4A2B">
              <w:rPr>
                <w:rFonts w:ascii="Times New Roman" w:hAnsi="Times New Roman" w:cs="Times New Roman"/>
                <w:sz w:val="20"/>
                <w:szCs w:val="20"/>
              </w:rPr>
              <w:t>zakresie art. 56</w:t>
            </w:r>
            <w:r>
              <w:rPr>
                <w:rFonts w:ascii="Times New Roman" w:hAnsi="Times New Roman" w:cs="Times New Roman"/>
                <w:sz w:val="20"/>
                <w:szCs w:val="20"/>
              </w:rPr>
              <w:t>c ust. 4</w:t>
            </w:r>
          </w:p>
        </w:tc>
        <w:tc>
          <w:tcPr>
            <w:tcW w:w="5670" w:type="dxa"/>
            <w:vAlign w:val="center"/>
          </w:tcPr>
          <w:p w14:paraId="45465471" w14:textId="6E55D5B7" w:rsidR="0099084C" w:rsidRPr="004A5D09" w:rsidRDefault="0099084C" w:rsidP="0099084C">
            <w:pPr>
              <w:spacing w:before="120" w:after="120"/>
              <w:jc w:val="both"/>
              <w:rPr>
                <w:rFonts w:ascii="Times New Roman" w:hAnsi="Times New Roman" w:cs="Times New Roman"/>
                <w:sz w:val="20"/>
              </w:rPr>
            </w:pPr>
            <w:r w:rsidRPr="00A52CCA">
              <w:rPr>
                <w:rFonts w:ascii="Times New Roman" w:hAnsi="Times New Roman" w:cs="Times New Roman"/>
                <w:sz w:val="20"/>
              </w:rPr>
              <w:t>w ust. 4 w pkt 1 w lit. a) napisano, że Ubezpieczeniowy Fundusz Gwarancyjny usuwa dane i informacje gromadzone i przetwarzane w ramach prowadzenia Portalu DOM najpóźniej z upływem 6 lat. Natomiast w art. 54 zmienianej ustawy z dnia 20 maja 2021 r. o ochronie praw nabywcy lokalu mieszkalnego lub domu jednorodzinnego oraz Deweloperskim Funduszu Gwarancyjnym napisano „Dane i informacje gromadzone w Ewidencji usuwa się po upływie 6 (…)”</w:t>
            </w:r>
          </w:p>
        </w:tc>
        <w:tc>
          <w:tcPr>
            <w:tcW w:w="4160" w:type="dxa"/>
          </w:tcPr>
          <w:p w14:paraId="36225565" w14:textId="15A8C3B4" w:rsidR="0099084C" w:rsidRPr="00397105" w:rsidRDefault="003F625F" w:rsidP="0099084C">
            <w:pPr>
              <w:spacing w:before="120" w:after="120"/>
              <w:jc w:val="both"/>
              <w:rPr>
                <w:rFonts w:ascii="Times New Roman" w:hAnsi="Times New Roman" w:cs="Times New Roman"/>
                <w:sz w:val="20"/>
                <w:u w:val="single"/>
              </w:rPr>
            </w:pPr>
            <w:r w:rsidRPr="003F625F">
              <w:rPr>
                <w:rFonts w:ascii="Times New Roman" w:hAnsi="Times New Roman" w:cs="Times New Roman"/>
                <w:color w:val="0070C0"/>
                <w:sz w:val="20"/>
              </w:rPr>
              <w:t>Uwaga uwzględniona</w:t>
            </w:r>
          </w:p>
        </w:tc>
      </w:tr>
      <w:tr w:rsidR="0099084C" w:rsidRPr="00FF4480" w14:paraId="600B7EA7" w14:textId="77777777" w:rsidTr="00E9565F">
        <w:trPr>
          <w:jc w:val="center"/>
        </w:trPr>
        <w:tc>
          <w:tcPr>
            <w:tcW w:w="554" w:type="dxa"/>
          </w:tcPr>
          <w:p w14:paraId="6F65BEA2"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D4F3873" w14:textId="11784AE6"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53356752" w14:textId="1301EA5F" w:rsidR="0099084C" w:rsidRPr="00721C84" w:rsidRDefault="0099084C" w:rsidP="0099084C">
            <w:pPr>
              <w:spacing w:before="120" w:after="120"/>
              <w:jc w:val="center"/>
              <w:rPr>
                <w:rFonts w:ascii="Times New Roman" w:hAnsi="Times New Roman" w:cs="Times New Roman"/>
                <w:sz w:val="20"/>
              </w:rPr>
            </w:pPr>
            <w:r w:rsidRPr="00721C84">
              <w:rPr>
                <w:rFonts w:ascii="Times New Roman" w:hAnsi="Times New Roman" w:cs="Times New Roman"/>
                <w:sz w:val="20"/>
              </w:rPr>
              <w:t>Art. 1 pkt 6 w</w:t>
            </w:r>
            <w:r>
              <w:rPr>
                <w:rFonts w:ascii="Times New Roman" w:hAnsi="Times New Roman" w:cs="Times New Roman"/>
                <w:sz w:val="20"/>
              </w:rPr>
              <w:t> </w:t>
            </w:r>
            <w:r w:rsidRPr="00721C84">
              <w:rPr>
                <w:rFonts w:ascii="Times New Roman" w:hAnsi="Times New Roman" w:cs="Times New Roman"/>
                <w:sz w:val="20"/>
              </w:rPr>
              <w:t>zakresie art. 56</w:t>
            </w:r>
            <w:r>
              <w:rPr>
                <w:rFonts w:ascii="Times New Roman" w:hAnsi="Times New Roman" w:cs="Times New Roman"/>
                <w:sz w:val="20"/>
              </w:rPr>
              <w:t>c</w:t>
            </w:r>
            <w:r w:rsidRPr="00721C84">
              <w:rPr>
                <w:rFonts w:ascii="Times New Roman" w:hAnsi="Times New Roman" w:cs="Times New Roman"/>
                <w:sz w:val="20"/>
              </w:rPr>
              <w:t xml:space="preserve"> ust. </w:t>
            </w:r>
            <w:r>
              <w:rPr>
                <w:rFonts w:ascii="Times New Roman" w:hAnsi="Times New Roman" w:cs="Times New Roman"/>
                <w:sz w:val="20"/>
              </w:rPr>
              <w:t>5</w:t>
            </w:r>
          </w:p>
        </w:tc>
        <w:tc>
          <w:tcPr>
            <w:tcW w:w="5670" w:type="dxa"/>
            <w:vAlign w:val="center"/>
          </w:tcPr>
          <w:p w14:paraId="42C9A2EF" w14:textId="373EDEE4" w:rsidR="0099084C" w:rsidRPr="002C69E0" w:rsidRDefault="0099084C" w:rsidP="0099084C">
            <w:pPr>
              <w:spacing w:before="120" w:after="120"/>
              <w:jc w:val="both"/>
              <w:rPr>
                <w:rFonts w:ascii="Times New Roman" w:hAnsi="Times New Roman" w:cs="Times New Roman"/>
                <w:sz w:val="20"/>
              </w:rPr>
            </w:pPr>
            <w:r w:rsidRPr="00E006FD">
              <w:rPr>
                <w:rFonts w:ascii="Times New Roman" w:hAnsi="Times New Roman" w:cs="Times New Roman"/>
                <w:sz w:val="20"/>
              </w:rPr>
              <w:t>Zapis wskazanej jednostki redakcyjnej wydaje się być zbędny, gdyż określono już wcześniej kto jest nabywcą celów Portalu DOM. Nie zrozumiałe jest zatem użycie pojęcia „również”.</w:t>
            </w:r>
          </w:p>
        </w:tc>
        <w:tc>
          <w:tcPr>
            <w:tcW w:w="4160" w:type="dxa"/>
          </w:tcPr>
          <w:p w14:paraId="733A2688" w14:textId="77777777" w:rsidR="0099084C" w:rsidRPr="005303EA" w:rsidRDefault="008240BC" w:rsidP="0099084C">
            <w:pPr>
              <w:spacing w:before="120" w:after="120"/>
              <w:jc w:val="both"/>
              <w:rPr>
                <w:rFonts w:ascii="Times New Roman" w:hAnsi="Times New Roman" w:cs="Times New Roman"/>
                <w:sz w:val="20"/>
                <w:u w:val="single"/>
              </w:rPr>
            </w:pPr>
            <w:r w:rsidRPr="005303EA">
              <w:rPr>
                <w:rFonts w:ascii="Times New Roman" w:hAnsi="Times New Roman" w:cs="Times New Roman"/>
                <w:sz w:val="20"/>
                <w:u w:val="single"/>
              </w:rPr>
              <w:t>Komentarz do uwagi</w:t>
            </w:r>
          </w:p>
          <w:p w14:paraId="4C7C851D" w14:textId="372F4BA5" w:rsidR="00B47277" w:rsidRPr="00D71B0F" w:rsidRDefault="00B47277" w:rsidP="008D4AA5">
            <w:pPr>
              <w:spacing w:before="120" w:after="120"/>
              <w:jc w:val="both"/>
              <w:rPr>
                <w:rFonts w:ascii="Times New Roman" w:hAnsi="Times New Roman" w:cs="Times New Roman"/>
                <w:sz w:val="20"/>
              </w:rPr>
            </w:pPr>
            <w:r>
              <w:rPr>
                <w:rFonts w:ascii="Times New Roman" w:hAnsi="Times New Roman" w:cs="Times New Roman"/>
                <w:sz w:val="20"/>
              </w:rPr>
              <w:t xml:space="preserve">W </w:t>
            </w:r>
            <w:r w:rsidR="008D4AA5">
              <w:rPr>
                <w:rFonts w:ascii="Times New Roman" w:hAnsi="Times New Roman" w:cs="Times New Roman"/>
                <w:sz w:val="20"/>
              </w:rPr>
              <w:t>związku z wykreśleniem przepisu uwaga stała się bezprzedmiotowa.</w:t>
            </w:r>
          </w:p>
        </w:tc>
      </w:tr>
      <w:tr w:rsidR="0099084C" w:rsidRPr="00FF4480" w14:paraId="4E8461F2" w14:textId="77777777" w:rsidTr="00E9565F">
        <w:trPr>
          <w:jc w:val="center"/>
        </w:trPr>
        <w:tc>
          <w:tcPr>
            <w:tcW w:w="554" w:type="dxa"/>
          </w:tcPr>
          <w:p w14:paraId="7D8BAB0F"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22E4A7E" w14:textId="37C2FC5C" w:rsidR="0099084C" w:rsidRPr="00247963" w:rsidRDefault="0099084C" w:rsidP="0099084C">
            <w:pPr>
              <w:spacing w:before="120" w:after="120"/>
              <w:rPr>
                <w:rFonts w:ascii="Times New Roman" w:hAnsi="Times New Roman" w:cs="Times New Roman"/>
                <w:sz w:val="20"/>
              </w:rPr>
            </w:pPr>
            <w:r w:rsidRPr="00A52CCA">
              <w:rPr>
                <w:rFonts w:ascii="Times New Roman" w:hAnsi="Times New Roman" w:cs="Times New Roman"/>
                <w:sz w:val="20"/>
              </w:rPr>
              <w:t>Związek Banków Polskich</w:t>
            </w:r>
          </w:p>
        </w:tc>
        <w:tc>
          <w:tcPr>
            <w:tcW w:w="1905" w:type="dxa"/>
            <w:vAlign w:val="center"/>
          </w:tcPr>
          <w:p w14:paraId="74ECC147" w14:textId="77858697" w:rsidR="0099084C" w:rsidRPr="00721C84" w:rsidRDefault="0099084C" w:rsidP="0099084C">
            <w:pPr>
              <w:spacing w:before="120" w:after="120"/>
              <w:jc w:val="center"/>
              <w:rPr>
                <w:rFonts w:ascii="Times New Roman" w:hAnsi="Times New Roman" w:cs="Times New Roman"/>
                <w:sz w:val="20"/>
              </w:rPr>
            </w:pPr>
            <w:r w:rsidRPr="0004079D">
              <w:rPr>
                <w:rFonts w:ascii="Times New Roman" w:hAnsi="Times New Roman" w:cs="Times New Roman"/>
                <w:sz w:val="20"/>
              </w:rPr>
              <w:t>Art. 1 pkt 6 w</w:t>
            </w:r>
            <w:r>
              <w:rPr>
                <w:rFonts w:ascii="Times New Roman" w:hAnsi="Times New Roman" w:cs="Times New Roman"/>
                <w:sz w:val="20"/>
              </w:rPr>
              <w:t> </w:t>
            </w:r>
            <w:r w:rsidRPr="0004079D">
              <w:rPr>
                <w:rFonts w:ascii="Times New Roman" w:hAnsi="Times New Roman" w:cs="Times New Roman"/>
                <w:sz w:val="20"/>
              </w:rPr>
              <w:t>zakresie art. 56d</w:t>
            </w:r>
          </w:p>
        </w:tc>
        <w:tc>
          <w:tcPr>
            <w:tcW w:w="5670" w:type="dxa"/>
            <w:vAlign w:val="center"/>
          </w:tcPr>
          <w:p w14:paraId="1D10CD67" w14:textId="77777777" w:rsidR="0099084C" w:rsidRPr="00A52CCA" w:rsidRDefault="0099084C" w:rsidP="0099084C">
            <w:pPr>
              <w:spacing w:before="120" w:after="120"/>
              <w:jc w:val="both"/>
              <w:rPr>
                <w:rFonts w:ascii="Times New Roman" w:hAnsi="Times New Roman" w:cs="Times New Roman"/>
                <w:sz w:val="20"/>
              </w:rPr>
            </w:pPr>
            <w:r w:rsidRPr="00A52CCA">
              <w:rPr>
                <w:rFonts w:ascii="Times New Roman" w:hAnsi="Times New Roman" w:cs="Times New Roman"/>
                <w:sz w:val="20"/>
              </w:rPr>
              <w:t>Postuluje się dodanie ust. 6 w brzmieniu „6. Ubezpieczeniowy Fundusz Gwarancyjny zapewnia dostęp zewnętrznej (międzybankowej) bazie danych o nieruchomości, o której mowa w Rekomendacja J Komisji Nadzoru Finansowego dotyczącej zasad gromadzenia i przetwarzania przez banki danych o nieruchomościach. do informacji o cenach transakcyjnych lokali mieszkalnych i domów jednorodzinnych.”</w:t>
            </w:r>
          </w:p>
          <w:p w14:paraId="39BFA439" w14:textId="28A4A21D" w:rsidR="0099084C" w:rsidRPr="00E006FD" w:rsidRDefault="0099084C" w:rsidP="0099084C">
            <w:pPr>
              <w:spacing w:before="120" w:after="120"/>
              <w:jc w:val="both"/>
              <w:rPr>
                <w:rFonts w:ascii="Times New Roman" w:hAnsi="Times New Roman" w:cs="Times New Roman"/>
                <w:sz w:val="20"/>
              </w:rPr>
            </w:pPr>
            <w:r w:rsidRPr="00A52CCA">
              <w:rPr>
                <w:rFonts w:ascii="Times New Roman" w:hAnsi="Times New Roman" w:cs="Times New Roman"/>
                <w:sz w:val="20"/>
              </w:rPr>
              <w:t>Pozwoli to zwiększyć efektywność ochrony interesów uczestników zarówno rynku bankowego.</w:t>
            </w:r>
          </w:p>
        </w:tc>
        <w:tc>
          <w:tcPr>
            <w:tcW w:w="4160" w:type="dxa"/>
          </w:tcPr>
          <w:p w14:paraId="6466256A" w14:textId="77777777" w:rsidR="0099084C" w:rsidRPr="00B47277" w:rsidRDefault="00B47277" w:rsidP="0099084C">
            <w:pPr>
              <w:spacing w:before="120" w:after="120"/>
              <w:jc w:val="both"/>
              <w:rPr>
                <w:rFonts w:ascii="Times New Roman" w:hAnsi="Times New Roman" w:cs="Times New Roman"/>
                <w:b/>
                <w:bCs/>
                <w:sz w:val="20"/>
              </w:rPr>
            </w:pPr>
            <w:r w:rsidRPr="00B47277">
              <w:rPr>
                <w:rFonts w:ascii="Times New Roman" w:hAnsi="Times New Roman" w:cs="Times New Roman"/>
                <w:b/>
                <w:bCs/>
                <w:sz w:val="20"/>
              </w:rPr>
              <w:t>Uwaga nieuwzględniona</w:t>
            </w:r>
          </w:p>
          <w:p w14:paraId="080BFA0C" w14:textId="15726BBD" w:rsidR="00B47277" w:rsidRPr="00DD1A34" w:rsidRDefault="00DD1A34" w:rsidP="0099084C">
            <w:pPr>
              <w:spacing w:before="120" w:after="120"/>
              <w:jc w:val="both"/>
              <w:rPr>
                <w:rFonts w:ascii="Times New Roman" w:hAnsi="Times New Roman" w:cs="Times New Roman"/>
                <w:sz w:val="20"/>
              </w:rPr>
            </w:pPr>
            <w:r>
              <w:rPr>
                <w:rFonts w:ascii="Times New Roman" w:hAnsi="Times New Roman" w:cs="Times New Roman"/>
                <w:sz w:val="20"/>
              </w:rPr>
              <w:t>Aktualnie nie przewiduje się integracji Portalu z bazami sektora bankowego. Sektor bankowy będzie mógł korzystać z Portalu na zasadach powszechnego dostępu. Szczegółowa argumentacja w tym zakresie została przedstawiona w kontekście wcześniej omawianych uwag dotykających tej problematyki.</w:t>
            </w:r>
          </w:p>
        </w:tc>
      </w:tr>
      <w:tr w:rsidR="0099084C" w:rsidRPr="00FF4480" w14:paraId="5341F2F7" w14:textId="77777777" w:rsidTr="00E9565F">
        <w:trPr>
          <w:jc w:val="center"/>
        </w:trPr>
        <w:tc>
          <w:tcPr>
            <w:tcW w:w="554" w:type="dxa"/>
          </w:tcPr>
          <w:p w14:paraId="0C2B2114"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DA0C3E5" w14:textId="01F6ECF6" w:rsidR="0099084C" w:rsidRPr="00406800" w:rsidRDefault="0099084C" w:rsidP="0099084C">
            <w:pPr>
              <w:spacing w:before="120" w:after="120"/>
              <w:rPr>
                <w:rFonts w:ascii="Times New Roman" w:hAnsi="Times New Roman" w:cs="Times New Roman"/>
                <w:sz w:val="20"/>
              </w:rPr>
            </w:pPr>
            <w:r w:rsidRPr="00C31B59">
              <w:rPr>
                <w:rFonts w:ascii="Times New Roman" w:hAnsi="Times New Roman" w:cs="Times New Roman"/>
                <w:sz w:val="20"/>
              </w:rPr>
              <w:t>Polska Federacja Stowarzyszeń Rzeczoznawców Majątkowych</w:t>
            </w:r>
          </w:p>
        </w:tc>
        <w:tc>
          <w:tcPr>
            <w:tcW w:w="1905" w:type="dxa"/>
            <w:vAlign w:val="center"/>
          </w:tcPr>
          <w:p w14:paraId="4B881AE8" w14:textId="0FFBFAA8" w:rsidR="0099084C" w:rsidRPr="00406800" w:rsidRDefault="0099084C" w:rsidP="0099084C">
            <w:pPr>
              <w:spacing w:before="120" w:after="120"/>
              <w:jc w:val="center"/>
              <w:rPr>
                <w:rFonts w:ascii="Times New Roman" w:hAnsi="Times New Roman" w:cs="Times New Roman"/>
                <w:sz w:val="20"/>
              </w:rPr>
            </w:pPr>
            <w:r w:rsidRPr="00C31B59">
              <w:rPr>
                <w:rFonts w:ascii="Times New Roman" w:hAnsi="Times New Roman" w:cs="Times New Roman"/>
                <w:sz w:val="20"/>
              </w:rPr>
              <w:t>Art. 1 pkt 6 w zakresie art. 56d ust. 1</w:t>
            </w:r>
          </w:p>
        </w:tc>
        <w:tc>
          <w:tcPr>
            <w:tcW w:w="5670" w:type="dxa"/>
            <w:vAlign w:val="center"/>
          </w:tcPr>
          <w:p w14:paraId="1009F918" w14:textId="77777777" w:rsidR="0099084C" w:rsidRPr="00C31B59" w:rsidRDefault="0099084C" w:rsidP="0099084C">
            <w:pPr>
              <w:spacing w:before="120" w:after="120"/>
              <w:jc w:val="both"/>
              <w:rPr>
                <w:rFonts w:ascii="Times New Roman" w:hAnsi="Times New Roman" w:cs="Times New Roman"/>
                <w:sz w:val="20"/>
              </w:rPr>
            </w:pPr>
            <w:r w:rsidRPr="00C31B59">
              <w:rPr>
                <w:rFonts w:ascii="Times New Roman" w:hAnsi="Times New Roman" w:cs="Times New Roman"/>
                <w:sz w:val="20"/>
              </w:rPr>
              <w:t xml:space="preserve">Wnosimy o wprowadzenie, w projekcie ustawy, rozwiązań umożliwiających osobom posiadającym uprawnienia w zakresie szacowania nieruchomości nadane w trybie ustawy z dnia 21 sierpnia 1997 roku o gospodarce nieruchomościami (rzeczoznawcom majątkowym) dostęp do danych i informacji  gromadzonych w projektowanym Portalu Danych o Obrocie Mieszkaniami - Portal DOM. Zakres informacji mających być udostępnianych publicznie jest zbyt ogólny i niewystarczający aby mógł stanowić narzędzie pomocne w pracy osób zawodowo zajmujących się określaniem wartości nieruchomości (głównie dla sektora publicznego, np. dla postępowań sądowych oraz administracyjnych). Możliwość korzystania z możliwie pełnej bazy danych, a takie jest przecież zamierzenie projektodawcy, umożliwi rzeczoznawcom majątkowym analizę rynku nieruchomości w szerszym ujęciu (np. celem określania trendów zmiany cen w segmentach rynku nieruchomości objętych danymi gromadzonymi w Portalu DOM). Należy zauważyć, że rzeczoznawcy majątkowi są już ustawowo uprawnieni do korzystania z szeregu danych i informacji zawartych np. w aktach notarialnych, a jednocześnie informacje uzyskane przez rzeczoznawcę majątkowego w związku z wykonywaniem zawodu stanowią tajemnicę zawodową, a tym samym nie widzimy podstaw prawnych wynikających z obowiązujących przepisów, które ograniczałby możliwość dostępu przez rzeczoznawców majątkowych do danych i informacji gromadzonych na potrzeby Portalu DOM. Wprowadzenie w projektowanej ustawie prawnych możliwości dostępu rzeczoznawców majątkowych do tych danych, </w:t>
            </w:r>
            <w:r w:rsidRPr="00C31B59">
              <w:rPr>
                <w:rFonts w:ascii="Times New Roman" w:hAnsi="Times New Roman" w:cs="Times New Roman"/>
                <w:sz w:val="20"/>
              </w:rPr>
              <w:lastRenderedPageBreak/>
              <w:t>z jednoczesnym określeniem technicznych zasad udostępnienia tych danych, wydaje się w pełni uzasadnione.</w:t>
            </w:r>
          </w:p>
          <w:p w14:paraId="69A5CD1B" w14:textId="77777777" w:rsidR="0099084C" w:rsidRPr="00C31B59" w:rsidRDefault="0099084C" w:rsidP="0099084C">
            <w:pPr>
              <w:spacing w:before="120" w:after="120"/>
              <w:jc w:val="both"/>
              <w:rPr>
                <w:rFonts w:ascii="Times New Roman" w:hAnsi="Times New Roman" w:cs="Times New Roman"/>
                <w:sz w:val="20"/>
              </w:rPr>
            </w:pPr>
            <w:r w:rsidRPr="00C31B59">
              <w:rPr>
                <w:rFonts w:ascii="Times New Roman" w:hAnsi="Times New Roman" w:cs="Times New Roman"/>
                <w:sz w:val="20"/>
              </w:rPr>
              <w:t>Ponadto, zgodnie z omawianym projektem do ustawy o ochronie praw nabywcy lokalu mieszkalnego lub domu jednorodzinnego oraz Deweloperskim Funduszu Gwarancyjnym art. 56a ust. 3 pkt 3 lit. c danymi i informacjami gromadzonymi i przetwarzanymi w ramach prowadzenia Portalu DOM będą m.in. dane i informacje o umowach, których przedmiotem jest przeniesienie na nabywcę spółdzielczego własnościowego prawa do lokalu mieszkalnego albo do domu jednorodzinnego. Dotychczasowe źródło informacji o tym segmencie rynku (spółdzielcze własnościowe prawa), tj. akty notarialne znajdujące się w posiadaniu spółdzielni, jest narzędziem niewystarczającym ze względu na często zgłaszane przez rzeczoznawców majątkowych odmowy udostępniania tych dokumentów przez spółdzielnie mieszkaniowe pomimo obowiązku wynikającego z art. 155 ust. 3 ustawy o gospodarce nieruchomościami. Portal DOM w zamierzeniu będzie gromadził wszystkie umowy dotyczące przeniesienia spółdzielczych własnościowych praw, co ma dodatkowe znaczenie w sytuacji gdy na danym rynku lokalnym funkcjonuje kilka lub kilkanaście spółdzielni. Takie kompleksowe źródło informacji jakim ma być Portal Dom umożliwi prowadzenie kompleksowej analizy rynku.</w:t>
            </w:r>
          </w:p>
          <w:p w14:paraId="3F7D13B8" w14:textId="18BA83C7" w:rsidR="0099084C" w:rsidRPr="00E76948" w:rsidRDefault="0099084C" w:rsidP="0099084C">
            <w:pPr>
              <w:spacing w:before="120" w:after="120"/>
              <w:jc w:val="both"/>
              <w:rPr>
                <w:rFonts w:ascii="Times New Roman" w:hAnsi="Times New Roman" w:cs="Times New Roman"/>
                <w:sz w:val="20"/>
              </w:rPr>
            </w:pPr>
            <w:r w:rsidRPr="00C31B59">
              <w:rPr>
                <w:rFonts w:ascii="Times New Roman" w:hAnsi="Times New Roman" w:cs="Times New Roman"/>
                <w:sz w:val="20"/>
              </w:rPr>
              <w:t>Uważamy, że jeżeli prawodawca nakład na rzeczoznawców majątkowych obowiązek kompleksowej analizy rynku nieruchomości, to zasadnym jest, aby jednocześnie zapewniał stosowne narzędzia do pozyskiwania danych umożliwiających dokonywanie takich analiz z wykorzystaniem możliwości jakie daje nowoczesne "oprzyrządowanie" informatyczne.</w:t>
            </w:r>
          </w:p>
        </w:tc>
        <w:tc>
          <w:tcPr>
            <w:tcW w:w="4160" w:type="dxa"/>
          </w:tcPr>
          <w:p w14:paraId="4C943756" w14:textId="77777777" w:rsidR="00DD1A34" w:rsidRPr="00B47277" w:rsidRDefault="00DD1A34" w:rsidP="00DD1A34">
            <w:pPr>
              <w:spacing w:before="120" w:after="120"/>
              <w:jc w:val="both"/>
              <w:rPr>
                <w:rFonts w:ascii="Times New Roman" w:hAnsi="Times New Roman" w:cs="Times New Roman"/>
                <w:b/>
                <w:bCs/>
                <w:sz w:val="20"/>
              </w:rPr>
            </w:pPr>
            <w:r w:rsidRPr="00B47277">
              <w:rPr>
                <w:rFonts w:ascii="Times New Roman" w:hAnsi="Times New Roman" w:cs="Times New Roman"/>
                <w:b/>
                <w:bCs/>
                <w:sz w:val="20"/>
              </w:rPr>
              <w:lastRenderedPageBreak/>
              <w:t>Uwaga nieuwzględniona</w:t>
            </w:r>
          </w:p>
          <w:p w14:paraId="2F7DAA82" w14:textId="5E5C8C7F" w:rsidR="00751781" w:rsidRDefault="00A9170D" w:rsidP="00A9170D">
            <w:pPr>
              <w:spacing w:before="120" w:after="120"/>
              <w:jc w:val="both"/>
              <w:rPr>
                <w:rFonts w:ascii="Times New Roman" w:hAnsi="Times New Roman" w:cs="Times New Roman"/>
                <w:sz w:val="20"/>
              </w:rPr>
            </w:pPr>
            <w:r>
              <w:rPr>
                <w:rFonts w:ascii="Times New Roman" w:hAnsi="Times New Roman" w:cs="Times New Roman"/>
                <w:sz w:val="20"/>
              </w:rPr>
              <w:t xml:space="preserve">Brzmienie przepisów o dostępie na wniosek jest odpowiedzią na uwagi zgłaszane w ramach dotychczasowych uzgodnień zewnętrznych, w tym w przedmiocie ochrony danych osobowych. W wyniku tych uwag </w:t>
            </w:r>
            <w:r w:rsidRPr="00A9170D">
              <w:rPr>
                <w:rFonts w:ascii="Times New Roman" w:hAnsi="Times New Roman" w:cs="Times New Roman"/>
                <w:sz w:val="20"/>
              </w:rPr>
              <w:t xml:space="preserve">ze względu na potrzebę zapewnienia ochrony prywatności </w:t>
            </w:r>
            <w:r>
              <w:rPr>
                <w:rFonts w:ascii="Times New Roman" w:hAnsi="Times New Roman" w:cs="Times New Roman"/>
                <w:sz w:val="20"/>
              </w:rPr>
              <w:t>zrezygnowano z dostępu do danych jednostkowych</w:t>
            </w:r>
            <w:r>
              <w:t xml:space="preserve"> </w:t>
            </w:r>
            <w:r w:rsidRPr="00A9170D">
              <w:rPr>
                <w:rFonts w:ascii="Times New Roman" w:hAnsi="Times New Roman" w:cs="Times New Roman"/>
                <w:sz w:val="20"/>
              </w:rPr>
              <w:t>na wniosek</w:t>
            </w:r>
            <w:r>
              <w:rPr>
                <w:rFonts w:ascii="Times New Roman" w:hAnsi="Times New Roman" w:cs="Times New Roman"/>
                <w:sz w:val="20"/>
              </w:rPr>
              <w:t>.</w:t>
            </w:r>
            <w:r w:rsidRPr="00A9170D">
              <w:rPr>
                <w:rFonts w:ascii="Times New Roman" w:hAnsi="Times New Roman" w:cs="Times New Roman"/>
                <w:sz w:val="20"/>
              </w:rPr>
              <w:t xml:space="preserve"> </w:t>
            </w:r>
            <w:r>
              <w:rPr>
                <w:rFonts w:ascii="Times New Roman" w:hAnsi="Times New Roman" w:cs="Times New Roman"/>
                <w:sz w:val="20"/>
              </w:rPr>
              <w:t>J</w:t>
            </w:r>
            <w:r w:rsidRPr="00A9170D">
              <w:rPr>
                <w:rFonts w:ascii="Times New Roman" w:hAnsi="Times New Roman" w:cs="Times New Roman"/>
                <w:sz w:val="20"/>
              </w:rPr>
              <w:t>edynym podmiotem mającym dostęp do danych i informacji przekazywanych na potrzeby Portalu DOM będzie UFG jako podmiot prowadzący Portal. Takiego dostępu nie będzie miał nawet minister odpowiedzialny za sprawy mieszkaniowe, czyli Minister Rozwoju i</w:t>
            </w:r>
            <w:r>
              <w:rPr>
                <w:rFonts w:ascii="Times New Roman" w:hAnsi="Times New Roman" w:cs="Times New Roman"/>
                <w:sz w:val="20"/>
              </w:rPr>
              <w:t> </w:t>
            </w:r>
            <w:r w:rsidRPr="00A9170D">
              <w:rPr>
                <w:rFonts w:ascii="Times New Roman" w:hAnsi="Times New Roman" w:cs="Times New Roman"/>
                <w:sz w:val="20"/>
              </w:rPr>
              <w:t>Technologii.</w:t>
            </w:r>
          </w:p>
          <w:p w14:paraId="4E29F7F3" w14:textId="2538EA49" w:rsidR="00751781" w:rsidRPr="00751781" w:rsidRDefault="00A9170D" w:rsidP="00751781">
            <w:pPr>
              <w:spacing w:before="120" w:after="120"/>
              <w:jc w:val="both"/>
              <w:rPr>
                <w:rFonts w:ascii="Times New Roman" w:hAnsi="Times New Roman" w:cs="Times New Roman"/>
                <w:sz w:val="20"/>
              </w:rPr>
            </w:pPr>
            <w:r>
              <w:rPr>
                <w:rFonts w:ascii="Times New Roman" w:hAnsi="Times New Roman" w:cs="Times New Roman"/>
                <w:sz w:val="20"/>
              </w:rPr>
              <w:t>Niezależnie od powyższego d</w:t>
            </w:r>
            <w:r w:rsidR="00751781" w:rsidRPr="00751781">
              <w:rPr>
                <w:rFonts w:ascii="Times New Roman" w:hAnsi="Times New Roman" w:cs="Times New Roman"/>
                <w:sz w:val="20"/>
              </w:rPr>
              <w:t>ane udostępniane w</w:t>
            </w:r>
            <w:r>
              <w:rPr>
                <w:rFonts w:ascii="Times New Roman" w:hAnsi="Times New Roman" w:cs="Times New Roman"/>
                <w:sz w:val="20"/>
              </w:rPr>
              <w:t> </w:t>
            </w:r>
            <w:r w:rsidR="00751781" w:rsidRPr="00751781">
              <w:rPr>
                <w:rFonts w:ascii="Times New Roman" w:hAnsi="Times New Roman" w:cs="Times New Roman"/>
                <w:sz w:val="20"/>
              </w:rPr>
              <w:t>projektowanym Portalu DOM na zasadach ogólnych, w szczególności dane o poziomie cen transakcyjnych nieruchomości mieszkaniowych w poszczególnych wskazanych w ustawie przekrojach terytorialnych, czasowych i</w:t>
            </w:r>
            <w:r>
              <w:rPr>
                <w:rFonts w:ascii="Times New Roman" w:hAnsi="Times New Roman" w:cs="Times New Roman"/>
                <w:sz w:val="20"/>
              </w:rPr>
              <w:t> </w:t>
            </w:r>
            <w:r w:rsidR="00751781" w:rsidRPr="00751781">
              <w:rPr>
                <w:rFonts w:ascii="Times New Roman" w:hAnsi="Times New Roman" w:cs="Times New Roman"/>
                <w:sz w:val="20"/>
              </w:rPr>
              <w:t>rodzajowych, będą umożliwiały prowadzenie przez rzeczoznawców majątkowych analiz o</w:t>
            </w:r>
            <w:r>
              <w:rPr>
                <w:rFonts w:ascii="Times New Roman" w:hAnsi="Times New Roman" w:cs="Times New Roman"/>
                <w:sz w:val="20"/>
              </w:rPr>
              <w:t> </w:t>
            </w:r>
            <w:r w:rsidR="00751781" w:rsidRPr="00751781">
              <w:rPr>
                <w:rFonts w:ascii="Times New Roman" w:hAnsi="Times New Roman" w:cs="Times New Roman"/>
                <w:sz w:val="20"/>
              </w:rPr>
              <w:t xml:space="preserve">zasięgu wskazanym w uwadze (tj. „np. </w:t>
            </w:r>
            <w:r w:rsidRPr="00A9170D">
              <w:rPr>
                <w:rFonts w:ascii="Times New Roman" w:hAnsi="Times New Roman" w:cs="Times New Roman"/>
                <w:sz w:val="20"/>
              </w:rPr>
              <w:t xml:space="preserve">celem określania trendów zmiany cen w segmentach </w:t>
            </w:r>
            <w:r w:rsidRPr="00A9170D">
              <w:rPr>
                <w:rFonts w:ascii="Times New Roman" w:hAnsi="Times New Roman" w:cs="Times New Roman"/>
                <w:sz w:val="20"/>
              </w:rPr>
              <w:lastRenderedPageBreak/>
              <w:t>rynku nieruchomości objętych danymi gromadzonymi w Portalu DOM</w:t>
            </w:r>
            <w:r w:rsidR="00751781" w:rsidRPr="00751781">
              <w:rPr>
                <w:rFonts w:ascii="Times New Roman" w:hAnsi="Times New Roman" w:cs="Times New Roman"/>
                <w:sz w:val="20"/>
              </w:rPr>
              <w:t>”).</w:t>
            </w:r>
          </w:p>
          <w:p w14:paraId="207CD4FE" w14:textId="77777777" w:rsidR="00A9170D" w:rsidRDefault="00751781" w:rsidP="00A9170D">
            <w:pPr>
              <w:spacing w:before="120" w:after="120"/>
              <w:jc w:val="both"/>
              <w:rPr>
                <w:rFonts w:ascii="Times New Roman" w:hAnsi="Times New Roman" w:cs="Times New Roman"/>
                <w:sz w:val="20"/>
              </w:rPr>
            </w:pPr>
            <w:r w:rsidRPr="00751781">
              <w:rPr>
                <w:rFonts w:ascii="Times New Roman" w:hAnsi="Times New Roman" w:cs="Times New Roman"/>
                <w:sz w:val="20"/>
              </w:rPr>
              <w:t xml:space="preserve">Proponowany art. 56d ustawy deweloperskiej wprowadzi szczególny tryb dostępu do </w:t>
            </w:r>
            <w:r w:rsidR="00A9170D">
              <w:rPr>
                <w:rFonts w:ascii="Times New Roman" w:hAnsi="Times New Roman" w:cs="Times New Roman"/>
                <w:sz w:val="20"/>
              </w:rPr>
              <w:t xml:space="preserve">szerszych zakresowo statystyk </w:t>
            </w:r>
            <w:r w:rsidRPr="00751781">
              <w:rPr>
                <w:rFonts w:ascii="Times New Roman" w:hAnsi="Times New Roman" w:cs="Times New Roman"/>
                <w:sz w:val="20"/>
              </w:rPr>
              <w:t xml:space="preserve">w celu realizacji </w:t>
            </w:r>
            <w:r w:rsidR="00A9170D">
              <w:rPr>
                <w:rFonts w:ascii="Times New Roman" w:hAnsi="Times New Roman" w:cs="Times New Roman"/>
                <w:sz w:val="20"/>
              </w:rPr>
              <w:t xml:space="preserve">przez uprawnione podmioty </w:t>
            </w:r>
            <w:r w:rsidRPr="00751781">
              <w:rPr>
                <w:rFonts w:ascii="Times New Roman" w:hAnsi="Times New Roman" w:cs="Times New Roman"/>
                <w:sz w:val="20"/>
              </w:rPr>
              <w:t>zadań ustawowych</w:t>
            </w:r>
            <w:r w:rsidR="00A9170D">
              <w:rPr>
                <w:rFonts w:ascii="Times New Roman" w:hAnsi="Times New Roman" w:cs="Times New Roman"/>
                <w:sz w:val="20"/>
              </w:rPr>
              <w:t xml:space="preserve"> wspierających realizację polityki mieszkaniowej</w:t>
            </w:r>
            <w:r w:rsidRPr="00751781">
              <w:rPr>
                <w:rFonts w:ascii="Times New Roman" w:hAnsi="Times New Roman" w:cs="Times New Roman"/>
                <w:sz w:val="20"/>
              </w:rPr>
              <w:t>. Prawo dostępu otrzymają konkretne organy, a</w:t>
            </w:r>
            <w:r w:rsidR="00A9170D">
              <w:rPr>
                <w:rFonts w:ascii="Times New Roman" w:hAnsi="Times New Roman" w:cs="Times New Roman"/>
                <w:sz w:val="20"/>
              </w:rPr>
              <w:t> </w:t>
            </w:r>
            <w:r w:rsidRPr="00751781">
              <w:rPr>
                <w:rFonts w:ascii="Times New Roman" w:hAnsi="Times New Roman" w:cs="Times New Roman"/>
                <w:sz w:val="20"/>
              </w:rPr>
              <w:t>także wybrane podmioty o krajowym zasięgu oddziaływania, zaangażowane w zadanie monitorowania rynku nieruchomości mieszkaniowych w Polsce</w:t>
            </w:r>
            <w:r w:rsidR="00A9170D">
              <w:rPr>
                <w:rFonts w:ascii="Times New Roman" w:hAnsi="Times New Roman" w:cs="Times New Roman"/>
                <w:sz w:val="20"/>
              </w:rPr>
              <w:t xml:space="preserve"> </w:t>
            </w:r>
            <w:r w:rsidRPr="00751781">
              <w:rPr>
                <w:rFonts w:ascii="Times New Roman" w:hAnsi="Times New Roman" w:cs="Times New Roman"/>
                <w:sz w:val="20"/>
              </w:rPr>
              <w:t xml:space="preserve">(np. w celach kontrolnych, statystycznych, finansowych etc.). </w:t>
            </w:r>
          </w:p>
          <w:p w14:paraId="3C6A40BA" w14:textId="557E7B70" w:rsidR="0099084C" w:rsidRPr="00397105" w:rsidRDefault="00751781" w:rsidP="00A9170D">
            <w:pPr>
              <w:spacing w:before="120" w:after="120"/>
              <w:jc w:val="both"/>
              <w:rPr>
                <w:rFonts w:ascii="Times New Roman" w:hAnsi="Times New Roman" w:cs="Times New Roman"/>
                <w:sz w:val="20"/>
                <w:u w:val="single"/>
              </w:rPr>
            </w:pPr>
            <w:r w:rsidRPr="00751781">
              <w:rPr>
                <w:rFonts w:ascii="Times New Roman" w:hAnsi="Times New Roman" w:cs="Times New Roman"/>
                <w:sz w:val="20"/>
              </w:rPr>
              <w:t>Przyznanie pełnego dostępu do danych (nawet z</w:t>
            </w:r>
            <w:r w:rsidR="00A9170D">
              <w:rPr>
                <w:rFonts w:ascii="Times New Roman" w:hAnsi="Times New Roman" w:cs="Times New Roman"/>
                <w:sz w:val="20"/>
              </w:rPr>
              <w:t> </w:t>
            </w:r>
            <w:r w:rsidRPr="00751781">
              <w:rPr>
                <w:rFonts w:ascii="Times New Roman" w:hAnsi="Times New Roman" w:cs="Times New Roman"/>
                <w:sz w:val="20"/>
              </w:rPr>
              <w:t>pominięciem danych osobowych) tak szerokiemu katalogowi użytkowników jak wybrane grupy zawodowe stwarzałoby</w:t>
            </w:r>
            <w:r w:rsidR="00A9170D">
              <w:rPr>
                <w:rFonts w:ascii="Times New Roman" w:hAnsi="Times New Roman" w:cs="Times New Roman"/>
                <w:sz w:val="20"/>
              </w:rPr>
              <w:t>, jak wspomniano,</w:t>
            </w:r>
            <w:r w:rsidRPr="00751781">
              <w:rPr>
                <w:rFonts w:ascii="Times New Roman" w:hAnsi="Times New Roman" w:cs="Times New Roman"/>
                <w:sz w:val="20"/>
              </w:rPr>
              <w:t xml:space="preserve"> ryzyka w zakresie bezpieczeństwa danych oraz kontroli ich wykorzystywania</w:t>
            </w:r>
            <w:r w:rsidR="00BA3233">
              <w:rPr>
                <w:rFonts w:ascii="Times New Roman" w:hAnsi="Times New Roman" w:cs="Times New Roman"/>
                <w:sz w:val="20"/>
              </w:rPr>
              <w:t>, co spotkałoby się ze sprzeciwem organu odpowiedzialnego za przestrzeganie zasad w tym zakresie.</w:t>
            </w:r>
            <w:r w:rsidRPr="00751781">
              <w:rPr>
                <w:rFonts w:ascii="Times New Roman" w:hAnsi="Times New Roman" w:cs="Times New Roman"/>
                <w:sz w:val="20"/>
              </w:rPr>
              <w:t xml:space="preserve"> Przy niewspółmiernych do korzyści wynikających z</w:t>
            </w:r>
            <w:r w:rsidR="00A9170D">
              <w:rPr>
                <w:rFonts w:ascii="Times New Roman" w:hAnsi="Times New Roman" w:cs="Times New Roman"/>
                <w:sz w:val="20"/>
              </w:rPr>
              <w:t> </w:t>
            </w:r>
            <w:r w:rsidRPr="00751781">
              <w:rPr>
                <w:rFonts w:ascii="Times New Roman" w:hAnsi="Times New Roman" w:cs="Times New Roman"/>
                <w:sz w:val="20"/>
              </w:rPr>
              <w:t>przyznania dostępu ryzykach prowadziłoby również do znacznego wzrostu kosztów obsługi Portalu, w tym związanych z</w:t>
            </w:r>
            <w:r w:rsidR="00C658AB">
              <w:rPr>
                <w:rFonts w:ascii="Times New Roman" w:hAnsi="Times New Roman" w:cs="Times New Roman"/>
                <w:sz w:val="20"/>
              </w:rPr>
              <w:t> </w:t>
            </w:r>
            <w:r w:rsidRPr="00751781">
              <w:rPr>
                <w:rFonts w:ascii="Times New Roman" w:hAnsi="Times New Roman" w:cs="Times New Roman"/>
                <w:sz w:val="20"/>
              </w:rPr>
              <w:t>koniecznością rozpatrywania przez Ubezpieczeniowy Fundusz Gwarancyjnych wniosku o dostęp na potrzeby każdorazowego opracowywania operatu szacunkowego (nie wspominając już o</w:t>
            </w:r>
            <w:r w:rsidR="00A9170D">
              <w:rPr>
                <w:rFonts w:ascii="Times New Roman" w:hAnsi="Times New Roman" w:cs="Times New Roman"/>
                <w:sz w:val="20"/>
              </w:rPr>
              <w:t> </w:t>
            </w:r>
            <w:r w:rsidRPr="00751781">
              <w:rPr>
                <w:rFonts w:ascii="Times New Roman" w:hAnsi="Times New Roman" w:cs="Times New Roman"/>
                <w:sz w:val="20"/>
              </w:rPr>
              <w:t>konieczności wprowadzenia mechanizmów ograniczających wybranej grupie dostęp do danych osobowych).</w:t>
            </w:r>
          </w:p>
        </w:tc>
      </w:tr>
      <w:tr w:rsidR="0099084C" w:rsidRPr="00FF4480" w14:paraId="67FCD3FE" w14:textId="77777777" w:rsidTr="00E9565F">
        <w:trPr>
          <w:jc w:val="center"/>
        </w:trPr>
        <w:tc>
          <w:tcPr>
            <w:tcW w:w="554" w:type="dxa"/>
          </w:tcPr>
          <w:p w14:paraId="428F39CD"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0BA9503B" w14:textId="5F84523A" w:rsidR="0099084C" w:rsidRPr="00406800" w:rsidRDefault="0099084C" w:rsidP="0099084C">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7977AA57" w14:textId="725353A2" w:rsidR="0099084C" w:rsidRPr="00406800" w:rsidRDefault="0099084C" w:rsidP="0099084C">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zakresie art. 56</w:t>
            </w:r>
            <w:r>
              <w:rPr>
                <w:rFonts w:ascii="Times New Roman" w:hAnsi="Times New Roman" w:cs="Times New Roman"/>
                <w:sz w:val="20"/>
              </w:rPr>
              <w:t>d</w:t>
            </w:r>
            <w:r w:rsidRPr="00406800">
              <w:rPr>
                <w:rFonts w:ascii="Times New Roman" w:hAnsi="Times New Roman" w:cs="Times New Roman"/>
                <w:sz w:val="20"/>
              </w:rPr>
              <w:t xml:space="preserve"> ust. </w:t>
            </w:r>
            <w:r>
              <w:rPr>
                <w:rFonts w:ascii="Times New Roman" w:hAnsi="Times New Roman" w:cs="Times New Roman"/>
                <w:sz w:val="20"/>
              </w:rPr>
              <w:t>1</w:t>
            </w:r>
          </w:p>
        </w:tc>
        <w:tc>
          <w:tcPr>
            <w:tcW w:w="5670" w:type="dxa"/>
            <w:vAlign w:val="center"/>
          </w:tcPr>
          <w:p w14:paraId="0806D474" w14:textId="23D03FFF" w:rsidR="0099084C" w:rsidRPr="00E76948" w:rsidRDefault="0099084C" w:rsidP="0099084C">
            <w:pPr>
              <w:spacing w:before="120" w:after="120"/>
              <w:jc w:val="both"/>
              <w:rPr>
                <w:rFonts w:ascii="Times New Roman" w:hAnsi="Times New Roman" w:cs="Times New Roman"/>
                <w:sz w:val="20"/>
              </w:rPr>
            </w:pPr>
            <w:r w:rsidRPr="00E76948">
              <w:rPr>
                <w:rFonts w:ascii="Times New Roman" w:hAnsi="Times New Roman" w:cs="Times New Roman"/>
                <w:sz w:val="20"/>
              </w:rPr>
              <w:t>Dane przekazywane do GUS i NBP będą zanonimizowane i</w:t>
            </w:r>
            <w:r>
              <w:rPr>
                <w:rFonts w:ascii="Times New Roman" w:hAnsi="Times New Roman" w:cs="Times New Roman"/>
                <w:sz w:val="20"/>
              </w:rPr>
              <w:t> </w:t>
            </w:r>
            <w:r w:rsidRPr="00E76948">
              <w:rPr>
                <w:rFonts w:ascii="Times New Roman" w:hAnsi="Times New Roman" w:cs="Times New Roman"/>
                <w:sz w:val="20"/>
              </w:rPr>
              <w:t>opracowane statystycznie, co może utrudnić ich integrację z</w:t>
            </w:r>
            <w:r>
              <w:rPr>
                <w:rFonts w:ascii="Times New Roman" w:hAnsi="Times New Roman" w:cs="Times New Roman"/>
                <w:sz w:val="20"/>
              </w:rPr>
              <w:t> </w:t>
            </w:r>
            <w:r w:rsidRPr="00E76948">
              <w:rPr>
                <w:rFonts w:ascii="Times New Roman" w:hAnsi="Times New Roman" w:cs="Times New Roman"/>
                <w:sz w:val="20"/>
              </w:rPr>
              <w:t xml:space="preserve">istniejącymi analizami przygotowywanymi przez te instytucje. Jednak istotniejsze jest wykluczenie gmin i miast z grona podmiotów, które mogą korzystać z tych danych, zestawień </w:t>
            </w:r>
            <w:r w:rsidRPr="00E76948">
              <w:rPr>
                <w:rFonts w:ascii="Times New Roman" w:hAnsi="Times New Roman" w:cs="Times New Roman"/>
                <w:sz w:val="20"/>
              </w:rPr>
              <w:lastRenderedPageBreak/>
              <w:t>i</w:t>
            </w:r>
            <w:r>
              <w:rPr>
                <w:rFonts w:ascii="Times New Roman" w:hAnsi="Times New Roman" w:cs="Times New Roman"/>
                <w:sz w:val="20"/>
              </w:rPr>
              <w:t> </w:t>
            </w:r>
            <w:r w:rsidRPr="00E76948">
              <w:rPr>
                <w:rFonts w:ascii="Times New Roman" w:hAnsi="Times New Roman" w:cs="Times New Roman"/>
                <w:sz w:val="20"/>
              </w:rPr>
              <w:t>opracowań. Samorządy są odpowiedzialne za zaspokajanie potrzeb mieszkaniowych mieszkańców na swoim terenie i mogą podejmować działania, takie jak budowa mieszkań w ramach SIM czy realizacja polityki przestrzennej, gdy dostrzegają problemy z</w:t>
            </w:r>
            <w:r>
              <w:rPr>
                <w:rFonts w:ascii="Times New Roman" w:hAnsi="Times New Roman" w:cs="Times New Roman"/>
                <w:sz w:val="20"/>
              </w:rPr>
              <w:t> </w:t>
            </w:r>
            <w:r w:rsidRPr="00E76948">
              <w:rPr>
                <w:rFonts w:ascii="Times New Roman" w:hAnsi="Times New Roman" w:cs="Times New Roman"/>
                <w:sz w:val="20"/>
              </w:rPr>
              <w:t>popytem. Ustawowe rozwiązania to tylko część polityki mieszkaniowej, którą wdrażają samorządy we współpracy z</w:t>
            </w:r>
            <w:r>
              <w:rPr>
                <w:rFonts w:ascii="Times New Roman" w:hAnsi="Times New Roman" w:cs="Times New Roman"/>
                <w:sz w:val="20"/>
              </w:rPr>
              <w:t> </w:t>
            </w:r>
            <w:r w:rsidRPr="00E76948">
              <w:rPr>
                <w:rFonts w:ascii="Times New Roman" w:hAnsi="Times New Roman" w:cs="Times New Roman"/>
                <w:sz w:val="20"/>
              </w:rPr>
              <w:t>instytucjami centralnymi. Jeśli Portal DOM ma pełnić rolę w</w:t>
            </w:r>
            <w:r>
              <w:rPr>
                <w:rFonts w:ascii="Times New Roman" w:hAnsi="Times New Roman" w:cs="Times New Roman"/>
                <w:sz w:val="20"/>
              </w:rPr>
              <w:t> </w:t>
            </w:r>
            <w:r w:rsidRPr="00E76948">
              <w:rPr>
                <w:rFonts w:ascii="Times New Roman" w:hAnsi="Times New Roman" w:cs="Times New Roman"/>
                <w:sz w:val="20"/>
              </w:rPr>
              <w:t>monitorowaniu instrumentów polityki mieszkaniowej, dostęp do opracowań powinien być również udostępniony samorządom.</w:t>
            </w:r>
          </w:p>
          <w:p w14:paraId="09112BAE" w14:textId="79990E82" w:rsidR="0099084C" w:rsidRPr="00E76948" w:rsidRDefault="0099084C" w:rsidP="0099084C">
            <w:pPr>
              <w:spacing w:before="120" w:after="120"/>
              <w:jc w:val="both"/>
              <w:rPr>
                <w:rFonts w:ascii="Times New Roman" w:hAnsi="Times New Roman" w:cs="Times New Roman"/>
                <w:sz w:val="20"/>
              </w:rPr>
            </w:pPr>
            <w:r w:rsidRPr="00E76948">
              <w:rPr>
                <w:rFonts w:ascii="Times New Roman" w:hAnsi="Times New Roman" w:cs="Times New Roman"/>
                <w:sz w:val="20"/>
              </w:rPr>
              <w:t>Obecnie większe miasta mają dostęp do danych z Rejestru Cen Nieruchomości, a miasta na prawach powiatów są odpowiedzialne za prowadzenie tej bazy. Nie jest to jednak źródło często wykorzystywane do kształtowania polityki mieszkaniowej na poziomie lokalnym lub krajowym. RCN funkcjonuje w sposób nieujednolicony w skali kraju i wymaga znacznych nakładów pracy przy wprowadzaniu danych, dlatego dążenie do ujednolicenia standardów i poprawy dostępności informacji o średnich cenach mieszkań i domów jest zrozumiałe. Całkowity podział w</w:t>
            </w:r>
            <w:r>
              <w:rPr>
                <w:rFonts w:ascii="Times New Roman" w:hAnsi="Times New Roman" w:cs="Times New Roman"/>
                <w:sz w:val="20"/>
              </w:rPr>
              <w:t> </w:t>
            </w:r>
            <w:r w:rsidRPr="00E76948">
              <w:rPr>
                <w:rFonts w:ascii="Times New Roman" w:hAnsi="Times New Roman" w:cs="Times New Roman"/>
                <w:sz w:val="20"/>
              </w:rPr>
              <w:t>proponowanym projekcie, w którym urzędy centralne korzystają z</w:t>
            </w:r>
            <w:r>
              <w:rPr>
                <w:rFonts w:ascii="Times New Roman" w:hAnsi="Times New Roman" w:cs="Times New Roman"/>
                <w:sz w:val="20"/>
              </w:rPr>
              <w:t> </w:t>
            </w:r>
            <w:r w:rsidRPr="00E76948">
              <w:rPr>
                <w:rFonts w:ascii="Times New Roman" w:hAnsi="Times New Roman" w:cs="Times New Roman"/>
                <w:sz w:val="20"/>
              </w:rPr>
              <w:t>danych z innego źródła niż samorządy, sądy i system bankowy, nie sprzyja przejrzystości rynku mieszkaniowego.</w:t>
            </w:r>
          </w:p>
          <w:p w14:paraId="7ECED3AC" w14:textId="47A6430B" w:rsidR="0099084C" w:rsidRPr="00225FB4" w:rsidRDefault="0099084C" w:rsidP="0099084C">
            <w:pPr>
              <w:spacing w:before="120" w:after="120"/>
              <w:jc w:val="both"/>
              <w:rPr>
                <w:rFonts w:ascii="Times New Roman" w:hAnsi="Times New Roman" w:cs="Times New Roman"/>
                <w:sz w:val="20"/>
              </w:rPr>
            </w:pPr>
            <w:r w:rsidRPr="00E76948">
              <w:rPr>
                <w:rFonts w:ascii="Times New Roman" w:hAnsi="Times New Roman" w:cs="Times New Roman"/>
                <w:sz w:val="20"/>
              </w:rPr>
              <w:t>Regulacja nie przewiduje także dostępu do danych, nawet w</w:t>
            </w:r>
            <w:r>
              <w:rPr>
                <w:rFonts w:ascii="Times New Roman" w:hAnsi="Times New Roman" w:cs="Times New Roman"/>
                <w:sz w:val="20"/>
              </w:rPr>
              <w:t> </w:t>
            </w:r>
            <w:r w:rsidRPr="00E76948">
              <w:rPr>
                <w:rFonts w:ascii="Times New Roman" w:hAnsi="Times New Roman" w:cs="Times New Roman"/>
                <w:sz w:val="20"/>
              </w:rPr>
              <w:t>zanonimizowanej formie, na cele naukowe, takie jak badania, analizy czy porównania, w tym na poziomie międzynarodowym. Działalność naukowa często stanowi pierwszy krok w</w:t>
            </w:r>
            <w:r>
              <w:rPr>
                <w:rFonts w:ascii="Times New Roman" w:hAnsi="Times New Roman" w:cs="Times New Roman"/>
                <w:sz w:val="20"/>
              </w:rPr>
              <w:t> </w:t>
            </w:r>
            <w:r w:rsidRPr="00E76948">
              <w:rPr>
                <w:rFonts w:ascii="Times New Roman" w:hAnsi="Times New Roman" w:cs="Times New Roman"/>
                <w:sz w:val="20"/>
              </w:rPr>
              <w:t>wprowadzaniu instrumentów polityki mieszkaniowej, dlatego współpraca Portalu DOM z instytucjami badawczymi na poziomie danych, a nie tylko w kontekście już opublikowanych opracowań, mogłaby być wartościowa dla polityki mieszkaniowej zarówno na poziomie centralnym, jak i lokalnym. Cele naukowe zostały wymienione w uzasadnieniu do projektu.</w:t>
            </w:r>
          </w:p>
        </w:tc>
        <w:tc>
          <w:tcPr>
            <w:tcW w:w="4160" w:type="dxa"/>
          </w:tcPr>
          <w:p w14:paraId="1F39F8B2" w14:textId="77777777" w:rsidR="0099084C" w:rsidRPr="00397105" w:rsidRDefault="0099084C" w:rsidP="0099084C">
            <w:pPr>
              <w:spacing w:before="120" w:after="120"/>
              <w:jc w:val="both"/>
              <w:rPr>
                <w:rFonts w:ascii="Times New Roman" w:hAnsi="Times New Roman" w:cs="Times New Roman"/>
                <w:sz w:val="20"/>
                <w:u w:val="single"/>
              </w:rPr>
            </w:pPr>
            <w:r w:rsidRPr="00397105">
              <w:rPr>
                <w:rFonts w:ascii="Times New Roman" w:hAnsi="Times New Roman" w:cs="Times New Roman"/>
                <w:sz w:val="20"/>
                <w:u w:val="single"/>
              </w:rPr>
              <w:lastRenderedPageBreak/>
              <w:t>Komentarz do uwagi</w:t>
            </w:r>
          </w:p>
          <w:p w14:paraId="1DBAA185" w14:textId="366B1436" w:rsidR="0099084C"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 xml:space="preserve">Dostęp do opracowań na wniosek został przyznany jedynie kilku podmiotom działającym na poziomie centralnym, i tylko w takim zakresie, </w:t>
            </w:r>
            <w:r>
              <w:rPr>
                <w:rFonts w:ascii="Times New Roman" w:hAnsi="Times New Roman" w:cs="Times New Roman"/>
                <w:sz w:val="20"/>
              </w:rPr>
              <w:lastRenderedPageBreak/>
              <w:t>w jakim jest to uzasadnione ich ustawowymi zadaniami w ramach kształtowania polityki mieszkaniowej. Takie ograniczenie jest motywowane zarówno zadaniami realizowanymi przez te podmioty oraz ochroną interesów stron transakcji mieszkaniowych, jak i ustawową rolą UFG. Rozdrobnienie w katalogu podmiotów uprawnionych do opracowań na wniosek mogłoby bowiem nakładać na UFG obowiązki, których uciążliwość byłaby niewspółmierna do wartości płynącej z takiego dostępu.</w:t>
            </w:r>
          </w:p>
          <w:p w14:paraId="5F9B684A" w14:textId="202853E7" w:rsidR="0099084C" w:rsidRPr="00EA7F10"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Podmioty nieuwzględnione w katalogu będą mogły korzystać z informacji gromadzonych w Portalu DOM w ramach powszechnego dostępu. Przykładowo, gminy będą mogły generować różne zestawienia dotyczące obrotu nieruchomościami mieszkaniowymi na ich terenie.</w:t>
            </w:r>
          </w:p>
        </w:tc>
      </w:tr>
      <w:tr w:rsidR="0099084C" w:rsidRPr="00FF4480" w14:paraId="78E04E3B" w14:textId="77777777" w:rsidTr="00E9565F">
        <w:trPr>
          <w:jc w:val="center"/>
        </w:trPr>
        <w:tc>
          <w:tcPr>
            <w:tcW w:w="554" w:type="dxa"/>
          </w:tcPr>
          <w:p w14:paraId="50943D8A"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209AF66" w14:textId="1F01A46E" w:rsidR="0099084C" w:rsidRPr="00406800" w:rsidRDefault="0099084C" w:rsidP="0099084C">
            <w:pPr>
              <w:spacing w:before="120" w:after="120"/>
              <w:rPr>
                <w:rFonts w:ascii="Times New Roman" w:hAnsi="Times New Roman" w:cs="Times New Roman"/>
                <w:sz w:val="20"/>
              </w:rPr>
            </w:pPr>
            <w:r w:rsidRPr="00406800">
              <w:rPr>
                <w:rFonts w:ascii="Times New Roman" w:hAnsi="Times New Roman" w:cs="Times New Roman"/>
                <w:sz w:val="20"/>
              </w:rPr>
              <w:t xml:space="preserve">Fundacja Habitat for </w:t>
            </w:r>
            <w:proofErr w:type="spellStart"/>
            <w:r w:rsidRPr="00406800">
              <w:rPr>
                <w:rFonts w:ascii="Times New Roman" w:hAnsi="Times New Roman" w:cs="Times New Roman"/>
                <w:sz w:val="20"/>
              </w:rPr>
              <w:t>Humanity</w:t>
            </w:r>
            <w:proofErr w:type="spellEnd"/>
            <w:r w:rsidRPr="00406800">
              <w:rPr>
                <w:rFonts w:ascii="Times New Roman" w:hAnsi="Times New Roman" w:cs="Times New Roman"/>
                <w:sz w:val="20"/>
              </w:rPr>
              <w:t xml:space="preserve"> Poland</w:t>
            </w:r>
          </w:p>
        </w:tc>
        <w:tc>
          <w:tcPr>
            <w:tcW w:w="1905" w:type="dxa"/>
            <w:vAlign w:val="center"/>
          </w:tcPr>
          <w:p w14:paraId="289AB4D9" w14:textId="56FF3082" w:rsidR="0099084C" w:rsidRPr="00406800" w:rsidRDefault="0099084C" w:rsidP="0099084C">
            <w:pPr>
              <w:spacing w:before="120" w:after="120"/>
              <w:jc w:val="center"/>
              <w:rPr>
                <w:rFonts w:ascii="Times New Roman" w:hAnsi="Times New Roman" w:cs="Times New Roman"/>
                <w:sz w:val="20"/>
              </w:rPr>
            </w:pPr>
            <w:r w:rsidRPr="00406800">
              <w:rPr>
                <w:rFonts w:ascii="Times New Roman" w:hAnsi="Times New Roman" w:cs="Times New Roman"/>
                <w:sz w:val="20"/>
              </w:rPr>
              <w:t>Art. 1 pkt 6 w</w:t>
            </w:r>
            <w:r>
              <w:rPr>
                <w:rFonts w:ascii="Times New Roman" w:hAnsi="Times New Roman" w:cs="Times New Roman"/>
                <w:sz w:val="20"/>
              </w:rPr>
              <w:t> </w:t>
            </w:r>
            <w:r w:rsidRPr="00406800">
              <w:rPr>
                <w:rFonts w:ascii="Times New Roman" w:hAnsi="Times New Roman" w:cs="Times New Roman"/>
                <w:sz w:val="20"/>
              </w:rPr>
              <w:t>zakresie art. 56</w:t>
            </w:r>
            <w:r>
              <w:rPr>
                <w:rFonts w:ascii="Times New Roman" w:hAnsi="Times New Roman" w:cs="Times New Roman"/>
                <w:sz w:val="20"/>
              </w:rPr>
              <w:t>d</w:t>
            </w:r>
            <w:r w:rsidRPr="00406800">
              <w:rPr>
                <w:rFonts w:ascii="Times New Roman" w:hAnsi="Times New Roman" w:cs="Times New Roman"/>
                <w:sz w:val="20"/>
              </w:rPr>
              <w:t xml:space="preserve"> ust. </w:t>
            </w:r>
            <w:r>
              <w:rPr>
                <w:rFonts w:ascii="Times New Roman" w:hAnsi="Times New Roman" w:cs="Times New Roman"/>
                <w:sz w:val="20"/>
              </w:rPr>
              <w:t>1</w:t>
            </w:r>
          </w:p>
        </w:tc>
        <w:tc>
          <w:tcPr>
            <w:tcW w:w="5670" w:type="dxa"/>
            <w:vAlign w:val="center"/>
          </w:tcPr>
          <w:p w14:paraId="5218A5AC" w14:textId="68087B83" w:rsidR="0099084C" w:rsidRPr="00406800" w:rsidRDefault="0099084C" w:rsidP="0099084C">
            <w:pPr>
              <w:spacing w:before="120" w:after="120"/>
              <w:jc w:val="both"/>
              <w:rPr>
                <w:rFonts w:ascii="Times New Roman" w:hAnsi="Times New Roman" w:cs="Times New Roman"/>
                <w:sz w:val="20"/>
              </w:rPr>
            </w:pPr>
            <w:r w:rsidRPr="00225FB4">
              <w:rPr>
                <w:rFonts w:ascii="Times New Roman" w:hAnsi="Times New Roman" w:cs="Times New Roman"/>
                <w:sz w:val="20"/>
              </w:rPr>
              <w:t xml:space="preserve">W ramach instytucji zajmującej się ubezpieczeniami, gwarancjami mają powstawać analizy rynku nieruchomości mieszkaniowych, nie ma natomiast w projekcie zasad przekazywania informacji do Głównego Urzędu Statystycznego. Znów może to doprowadzić do sytuacji, kiedy powstanie „podwójny obieg” analiz statystycznych rynku, gdzie GUS będzie opierać się o dane z RCN i publikować </w:t>
            </w:r>
            <w:r w:rsidRPr="00225FB4">
              <w:rPr>
                <w:rFonts w:ascii="Times New Roman" w:hAnsi="Times New Roman" w:cs="Times New Roman"/>
                <w:sz w:val="20"/>
              </w:rPr>
              <w:lastRenderedPageBreak/>
              <w:t xml:space="preserve">swoje opracowania, ale z dużo większym opóźnieniem niż Portal DOM. W dodatku wciąż będą głębsze różnice, polegające na branych pod uwagę transakcjach i szczegółowości informacji, przypisywaniu ich do rynku pierwotnego i wtórnego. Zwiększenie liczby opracowań dla mniejszych przedsiębiorców z branży budowlanej i dla osób fizycznych znów może nie sprzyjać przejrzystości rynku nieruchomości mieszkaniowych. </w:t>
            </w:r>
          </w:p>
        </w:tc>
        <w:tc>
          <w:tcPr>
            <w:tcW w:w="4160" w:type="dxa"/>
          </w:tcPr>
          <w:p w14:paraId="1A6F8B2A" w14:textId="5DA5A5FD" w:rsidR="0099084C" w:rsidRPr="0096574F" w:rsidRDefault="0099084C" w:rsidP="0099084C">
            <w:pPr>
              <w:spacing w:before="120" w:after="120"/>
              <w:jc w:val="both"/>
              <w:rPr>
                <w:rFonts w:ascii="Times New Roman" w:hAnsi="Times New Roman" w:cs="Times New Roman"/>
                <w:sz w:val="20"/>
                <w:u w:val="single"/>
              </w:rPr>
            </w:pPr>
            <w:r w:rsidRPr="00942112">
              <w:rPr>
                <w:rFonts w:ascii="Times New Roman" w:hAnsi="Times New Roman" w:cs="Times New Roman"/>
                <w:sz w:val="20"/>
                <w:u w:val="single"/>
              </w:rPr>
              <w:lastRenderedPageBreak/>
              <w:t>Komentarz do uwagi</w:t>
            </w:r>
          </w:p>
          <w:p w14:paraId="7ADCD565" w14:textId="6C5F6D7F" w:rsidR="0099084C"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 xml:space="preserve">Zgodnie z projektem ustawy opracowania będą przekazywane Prezesowi GUS na jego wniosek po spełnieniu warunków ustawowych i na </w:t>
            </w:r>
            <w:r>
              <w:rPr>
                <w:rFonts w:ascii="Times New Roman" w:hAnsi="Times New Roman" w:cs="Times New Roman"/>
                <w:sz w:val="20"/>
              </w:rPr>
              <w:lastRenderedPageBreak/>
              <w:t>zasadach określonych w przepisach o statystyce publicznej.</w:t>
            </w:r>
          </w:p>
          <w:p w14:paraId="1698A435" w14:textId="11076012" w:rsidR="0099084C" w:rsidRPr="00EA7F10"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 xml:space="preserve">Niezależnie od powyższego ramy Portalu DOM zostały zaprojektowane w taki sposób, aby w pierwszej kolejności zapewnić bieżącą przydatność informacji generowanych przez Portal [tj. szybką odpowiedź na pojawiającą się </w:t>
            </w:r>
            <w:r w:rsidRPr="0096574F">
              <w:rPr>
                <w:rFonts w:ascii="Times New Roman" w:hAnsi="Times New Roman" w:cs="Times New Roman"/>
                <w:i/>
                <w:iCs/>
                <w:sz w:val="20"/>
              </w:rPr>
              <w:t>ad hoc</w:t>
            </w:r>
            <w:r>
              <w:rPr>
                <w:rFonts w:ascii="Times New Roman" w:hAnsi="Times New Roman" w:cs="Times New Roman"/>
                <w:sz w:val="20"/>
              </w:rPr>
              <w:t xml:space="preserve"> (konkretną) potrzebę porównania otrzymanej oferty nabycia nieruchomości mieszkaniowej z przeciętnymi cenami uzyskanymi w okolicy]. Działanie Portalu ma zatem mieć w praktyce obrotu przede wszystkim wymiar użytkowy, przyjazny dla osoby fizycznej szukającej mieszkania. </w:t>
            </w:r>
            <w:r w:rsidR="007B568A">
              <w:rPr>
                <w:rFonts w:ascii="Times New Roman" w:hAnsi="Times New Roman" w:cs="Times New Roman"/>
                <w:sz w:val="20"/>
              </w:rPr>
              <w:t xml:space="preserve">Warto również podkreślić, że w Portalu znajdą się dane wynikające z umów deweloperskich, podczas </w:t>
            </w:r>
            <w:r w:rsidR="002A264B">
              <w:rPr>
                <w:rFonts w:ascii="Times New Roman" w:hAnsi="Times New Roman" w:cs="Times New Roman"/>
                <w:sz w:val="20"/>
              </w:rPr>
              <w:t>gdy GUS</w:t>
            </w:r>
            <w:r w:rsidR="007B568A">
              <w:rPr>
                <w:rFonts w:ascii="Times New Roman" w:hAnsi="Times New Roman" w:cs="Times New Roman"/>
                <w:sz w:val="20"/>
              </w:rPr>
              <w:t xml:space="preserve"> korzysta w swoich statystykach z danych wynikających z ostatecznych umów przeniesienia własności. </w:t>
            </w:r>
            <w:r>
              <w:rPr>
                <w:rFonts w:ascii="Times New Roman" w:hAnsi="Times New Roman" w:cs="Times New Roman"/>
                <w:sz w:val="20"/>
              </w:rPr>
              <w:t xml:space="preserve">Opracowania GUS pełnią inne funkcje. Prawdopodobieństwo, że działanie Portalu ograniczy przejrzystość rynku, jest zatem w ocenie projektodawcy dużo niższe niż prawdopodobieństwo, że przejrzystość rynku wskutek działania Portalu zostanie zwiększona. </w:t>
            </w:r>
          </w:p>
        </w:tc>
      </w:tr>
      <w:tr w:rsidR="0099084C" w:rsidRPr="00FF4480" w14:paraId="2DE037CF" w14:textId="77777777" w:rsidTr="00E9565F">
        <w:trPr>
          <w:jc w:val="center"/>
        </w:trPr>
        <w:tc>
          <w:tcPr>
            <w:tcW w:w="554" w:type="dxa"/>
          </w:tcPr>
          <w:p w14:paraId="36136C0D"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224F9E1" w14:textId="2B9CB112" w:rsidR="0099084C" w:rsidRPr="00406800" w:rsidRDefault="0099084C" w:rsidP="0099084C">
            <w:pPr>
              <w:spacing w:before="120" w:after="120"/>
              <w:rPr>
                <w:rFonts w:ascii="Times New Roman" w:hAnsi="Times New Roman" w:cs="Times New Roman"/>
                <w:sz w:val="20"/>
              </w:rPr>
            </w:pPr>
            <w:r w:rsidRPr="0004079D">
              <w:rPr>
                <w:rFonts w:ascii="Times New Roman" w:hAnsi="Times New Roman" w:cs="Times New Roman"/>
                <w:sz w:val="20"/>
              </w:rPr>
              <w:t>Polski Związek Firm Deweloperskich</w:t>
            </w:r>
          </w:p>
        </w:tc>
        <w:tc>
          <w:tcPr>
            <w:tcW w:w="1905" w:type="dxa"/>
            <w:vAlign w:val="center"/>
          </w:tcPr>
          <w:p w14:paraId="7F92E754" w14:textId="010C95C4" w:rsidR="0099084C" w:rsidRPr="00406800" w:rsidRDefault="0099084C" w:rsidP="0099084C">
            <w:pPr>
              <w:spacing w:before="120" w:after="120"/>
              <w:jc w:val="center"/>
              <w:rPr>
                <w:rFonts w:ascii="Times New Roman" w:hAnsi="Times New Roman" w:cs="Times New Roman"/>
                <w:sz w:val="20"/>
              </w:rPr>
            </w:pPr>
            <w:r w:rsidRPr="0004079D">
              <w:rPr>
                <w:rFonts w:ascii="Times New Roman" w:hAnsi="Times New Roman" w:cs="Times New Roman"/>
                <w:sz w:val="20"/>
              </w:rPr>
              <w:t>Art. 1 pkt 6 w</w:t>
            </w:r>
            <w:r>
              <w:rPr>
                <w:rFonts w:ascii="Times New Roman" w:hAnsi="Times New Roman" w:cs="Times New Roman"/>
                <w:sz w:val="20"/>
              </w:rPr>
              <w:t> </w:t>
            </w:r>
            <w:r w:rsidRPr="0004079D">
              <w:rPr>
                <w:rFonts w:ascii="Times New Roman" w:hAnsi="Times New Roman" w:cs="Times New Roman"/>
                <w:sz w:val="20"/>
              </w:rPr>
              <w:t>zakresie art. 56d ust.</w:t>
            </w:r>
            <w:r>
              <w:rPr>
                <w:rFonts w:ascii="Times New Roman" w:hAnsi="Times New Roman" w:cs="Times New Roman"/>
                <w:sz w:val="20"/>
              </w:rPr>
              <w:t> 2</w:t>
            </w:r>
          </w:p>
        </w:tc>
        <w:tc>
          <w:tcPr>
            <w:tcW w:w="5670" w:type="dxa"/>
            <w:vAlign w:val="center"/>
          </w:tcPr>
          <w:p w14:paraId="5042D73A" w14:textId="77777777"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W projekcie przewidziano, że dane gromadzone i przetwarzane w Portalu Danych o Obrocie Mieszkaniami (Portal DOM) mają służyć m.in. udostępnianiu informacji o cenach transakcyjnych lokali mieszkalnych i domów jednorodzinnych. Chociaż przepisy zawarte w art. 56d ust. 2 wskazują, że dane te mają być opracowywane w sposób uniemożliwiający identyfikację osoby fizycznej lub nieruchomości, nie uwzględniono wyraźnie zakazu umożliwienia identyfikacji dewelopera.</w:t>
            </w:r>
          </w:p>
          <w:p w14:paraId="2F47B892" w14:textId="77777777"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 xml:space="preserve">Brak tego zastrzeżenia może prowadzić do sytuacji, w której na podstawie zbiorczych danych można będzie wywnioskować, który deweloper odpowiada za konkretne transakcje, zwłaszcza na rynkach o mniejszej liczbie graczy. Publiczne ujawnianie szczegółowych informacji o cenach transakcyjnych przypisanych do </w:t>
            </w:r>
            <w:r w:rsidRPr="0004079D">
              <w:rPr>
                <w:rFonts w:ascii="Times New Roman" w:hAnsi="Times New Roman" w:cs="Times New Roman"/>
                <w:sz w:val="20"/>
              </w:rPr>
              <w:lastRenderedPageBreak/>
              <w:t>konkretnych deweloperów może prowadzić do poważnych naruszeń zasad uczciwej konkurencji. Oznacza to, że konkurencja będzie miała dostęp do szczegółowych danych handlowych, co może doprowadzić do manipulacji cenami, prób wykluczania z rynku innych deweloperów lub wymuszenia zmian strategii cenowej przez inne podmioty.</w:t>
            </w:r>
          </w:p>
          <w:p w14:paraId="6D80841D" w14:textId="77777777"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Transparentność na rynku nieruchomości jest istotna, ale nie może prowadzić do ujawnienia wrażliwych informacji handlowych, które mogą być wykorzystywane przez konkurencję w sposób nieuczciwy. Udostępnianie takich danych w obecnej formie mogłoby naruszyć rynkową równowagę i wywołać niepożądane skutki, takie jak zmniejszenie elastyczności cenowej, zaburzenie strategii handlowych deweloperów, a także obniżenie konkurencyjności rynku nieruchomości.</w:t>
            </w:r>
          </w:p>
          <w:p w14:paraId="76594CE2" w14:textId="77777777"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Dlatego też proponuję, aby w art. 56d ust. 2 doprecyzować, że dane udostępniane przez Portal DOM nie powinny umożliwiać identyfikacji nie tylko osób fizycznych i nieruchomości, ale również deweloperów oraz innych podmiotów gospodarczych zaangażowanych w transakcje. Wprowadzenie takiej zmiany zapewni, że rynek pozostanie konkurencyjny i przejrzysty, a jednocześnie zapobiegnie nadużyciom wynikającym z nadmiernej transparentności.</w:t>
            </w:r>
          </w:p>
          <w:p w14:paraId="7E2C09FE" w14:textId="08499129"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Przykładowa treść uwagi:</w:t>
            </w:r>
          </w:p>
          <w:p w14:paraId="7A884D75" w14:textId="77777777" w:rsidR="0099084C" w:rsidRPr="0004079D"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„Art. 56d ust. 2: Informacje, o których mowa w art. 56a ust. 2 pkt 2, są generowane lub opracowywane i udostępniane w postaci, która uniemożliwia identyfikację osoby fizycznej, nieruchomości, a także dewelopera lub innego podmiotu prowadzącego działalność gospodarczą.”</w:t>
            </w:r>
          </w:p>
          <w:p w14:paraId="41C1835E" w14:textId="42927970" w:rsidR="0099084C" w:rsidRPr="00225FB4" w:rsidRDefault="0099084C" w:rsidP="0099084C">
            <w:pPr>
              <w:spacing w:before="120" w:after="120"/>
              <w:jc w:val="both"/>
              <w:rPr>
                <w:rFonts w:ascii="Times New Roman" w:hAnsi="Times New Roman" w:cs="Times New Roman"/>
                <w:sz w:val="20"/>
              </w:rPr>
            </w:pPr>
            <w:r w:rsidRPr="0004079D">
              <w:rPr>
                <w:rFonts w:ascii="Times New Roman" w:hAnsi="Times New Roman" w:cs="Times New Roman"/>
                <w:sz w:val="20"/>
              </w:rPr>
              <w:t>Taka zmiana w przepisach zabezpieczy interesy przedsiębiorców działających na rynku nieruchomości, eliminując ryzyko naruszenia zasad uczciwej konkurencji poprzez możliwość identyfikacji podmiotów na podstawie udostępnianych danych.</w:t>
            </w:r>
          </w:p>
        </w:tc>
        <w:tc>
          <w:tcPr>
            <w:tcW w:w="4160" w:type="dxa"/>
          </w:tcPr>
          <w:p w14:paraId="48C5E835" w14:textId="77777777" w:rsidR="0099084C" w:rsidRPr="00647A0A" w:rsidRDefault="00647A0A" w:rsidP="0099084C">
            <w:pPr>
              <w:spacing w:before="120" w:after="120"/>
              <w:jc w:val="both"/>
              <w:rPr>
                <w:rFonts w:ascii="Times New Roman" w:hAnsi="Times New Roman" w:cs="Times New Roman"/>
                <w:b/>
                <w:bCs/>
                <w:sz w:val="20"/>
              </w:rPr>
            </w:pPr>
            <w:r w:rsidRPr="00647A0A">
              <w:rPr>
                <w:rFonts w:ascii="Times New Roman" w:hAnsi="Times New Roman" w:cs="Times New Roman"/>
                <w:b/>
                <w:bCs/>
                <w:sz w:val="20"/>
              </w:rPr>
              <w:lastRenderedPageBreak/>
              <w:t>Uwaga nieuwzględniona</w:t>
            </w:r>
          </w:p>
          <w:p w14:paraId="37D97EBF" w14:textId="603A7A65" w:rsidR="00647A0A" w:rsidRPr="00AC358E" w:rsidRDefault="00AC358E" w:rsidP="0099084C">
            <w:pPr>
              <w:spacing w:before="120" w:after="120"/>
              <w:jc w:val="both"/>
              <w:rPr>
                <w:rFonts w:ascii="Times New Roman" w:hAnsi="Times New Roman" w:cs="Times New Roman"/>
                <w:sz w:val="20"/>
              </w:rPr>
            </w:pPr>
            <w:r>
              <w:rPr>
                <w:rFonts w:ascii="Times New Roman" w:hAnsi="Times New Roman" w:cs="Times New Roman"/>
                <w:sz w:val="20"/>
              </w:rPr>
              <w:t>Podstawowym celem zaprojektowania tego rozwiązania jest zwiększenie przejrzystości rynku mieszkaniowego. Z celem tym immanentnie związane jest zwiększenie transparentności działań podmiotów profesjonalnych zbywających nieruchomości mieszkaniowe. Podnoszone ryzyko dotyczyć będzie każdego dewelopera w skali kraju. Nie zostaną ujawnione jednak dane odnoszące się do konkretnych transakcji. Portal DOM ma być narzędziem ochrony słabszej</w:t>
            </w:r>
            <w:r w:rsidR="00B33CE4">
              <w:rPr>
                <w:rFonts w:ascii="Times New Roman" w:hAnsi="Times New Roman" w:cs="Times New Roman"/>
                <w:sz w:val="20"/>
              </w:rPr>
              <w:t xml:space="preserve"> (w kontekście m.in.</w:t>
            </w:r>
            <w:r w:rsidR="00987241">
              <w:rPr>
                <w:rFonts w:ascii="Times New Roman" w:hAnsi="Times New Roman" w:cs="Times New Roman"/>
                <w:sz w:val="20"/>
              </w:rPr>
              <w:t> </w:t>
            </w:r>
            <w:r w:rsidR="00B33CE4">
              <w:rPr>
                <w:rFonts w:ascii="Times New Roman" w:hAnsi="Times New Roman" w:cs="Times New Roman"/>
                <w:sz w:val="20"/>
              </w:rPr>
              <w:t>dostępu do informacji)</w:t>
            </w:r>
            <w:r>
              <w:rPr>
                <w:rFonts w:ascii="Times New Roman" w:hAnsi="Times New Roman" w:cs="Times New Roman"/>
                <w:sz w:val="20"/>
              </w:rPr>
              <w:t xml:space="preserve">, a nie silniejszej </w:t>
            </w:r>
            <w:r>
              <w:rPr>
                <w:rFonts w:ascii="Times New Roman" w:hAnsi="Times New Roman" w:cs="Times New Roman"/>
                <w:sz w:val="20"/>
              </w:rPr>
              <w:lastRenderedPageBreak/>
              <w:t>strony w umowach związanych z obrotem nieruchomościami mieszkaniowymi.</w:t>
            </w:r>
          </w:p>
        </w:tc>
      </w:tr>
      <w:tr w:rsidR="0099084C" w:rsidRPr="00FF4480" w14:paraId="22C7F5AB" w14:textId="77777777" w:rsidTr="00E9565F">
        <w:trPr>
          <w:jc w:val="center"/>
        </w:trPr>
        <w:tc>
          <w:tcPr>
            <w:tcW w:w="554" w:type="dxa"/>
          </w:tcPr>
          <w:p w14:paraId="3EE86D2A"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5B0B614" w14:textId="67B088DD" w:rsidR="0099084C" w:rsidRPr="0004079D" w:rsidRDefault="0099084C" w:rsidP="0099084C">
            <w:pPr>
              <w:spacing w:before="120" w:after="120"/>
              <w:rPr>
                <w:rFonts w:ascii="Times New Roman" w:hAnsi="Times New Roman" w:cs="Times New Roman"/>
                <w:sz w:val="20"/>
              </w:rPr>
            </w:pPr>
            <w:r w:rsidRPr="00A52CCA">
              <w:rPr>
                <w:rFonts w:ascii="Times New Roman" w:hAnsi="Times New Roman" w:cs="Times New Roman"/>
                <w:sz w:val="20"/>
              </w:rPr>
              <w:t>Związek Banków Polskich</w:t>
            </w:r>
          </w:p>
        </w:tc>
        <w:tc>
          <w:tcPr>
            <w:tcW w:w="1905" w:type="dxa"/>
            <w:vAlign w:val="center"/>
          </w:tcPr>
          <w:p w14:paraId="17460498" w14:textId="2B622CB3" w:rsidR="0099084C" w:rsidRPr="0004079D" w:rsidRDefault="0099084C" w:rsidP="0099084C">
            <w:pPr>
              <w:spacing w:before="120" w:after="120"/>
              <w:jc w:val="center"/>
              <w:rPr>
                <w:rFonts w:ascii="Times New Roman" w:hAnsi="Times New Roman" w:cs="Times New Roman"/>
                <w:sz w:val="20"/>
              </w:rPr>
            </w:pPr>
            <w:r w:rsidRPr="0004079D">
              <w:rPr>
                <w:rFonts w:ascii="Times New Roman" w:hAnsi="Times New Roman" w:cs="Times New Roman"/>
                <w:sz w:val="20"/>
              </w:rPr>
              <w:t>Art. 1 pkt 6 w</w:t>
            </w:r>
            <w:r>
              <w:rPr>
                <w:rFonts w:ascii="Times New Roman" w:hAnsi="Times New Roman" w:cs="Times New Roman"/>
                <w:sz w:val="20"/>
              </w:rPr>
              <w:t> </w:t>
            </w:r>
            <w:r w:rsidRPr="0004079D">
              <w:rPr>
                <w:rFonts w:ascii="Times New Roman" w:hAnsi="Times New Roman" w:cs="Times New Roman"/>
                <w:sz w:val="20"/>
              </w:rPr>
              <w:t>zakresie art. 56d ust.</w:t>
            </w:r>
            <w:r>
              <w:rPr>
                <w:rFonts w:ascii="Times New Roman" w:hAnsi="Times New Roman" w:cs="Times New Roman"/>
                <w:sz w:val="20"/>
              </w:rPr>
              <w:t> 2</w:t>
            </w:r>
          </w:p>
        </w:tc>
        <w:tc>
          <w:tcPr>
            <w:tcW w:w="5670" w:type="dxa"/>
            <w:vAlign w:val="center"/>
          </w:tcPr>
          <w:p w14:paraId="742B0146" w14:textId="76A523CB" w:rsidR="0099084C" w:rsidRPr="0004079D" w:rsidRDefault="0099084C" w:rsidP="0099084C">
            <w:pPr>
              <w:spacing w:before="120" w:after="120"/>
              <w:jc w:val="both"/>
              <w:rPr>
                <w:rFonts w:ascii="Times New Roman" w:hAnsi="Times New Roman" w:cs="Times New Roman"/>
                <w:sz w:val="20"/>
              </w:rPr>
            </w:pPr>
            <w:r w:rsidRPr="00A52CCA">
              <w:rPr>
                <w:rFonts w:ascii="Times New Roman" w:hAnsi="Times New Roman" w:cs="Times New Roman"/>
                <w:sz w:val="20"/>
              </w:rPr>
              <w:t xml:space="preserve">Dane przekazywane do GUS i NBP będą więc już zanonimizowane, opracowane statystycznie, co może utrudniać integrację z </w:t>
            </w:r>
            <w:r w:rsidRPr="00A52CCA">
              <w:rPr>
                <w:rFonts w:ascii="Times New Roman" w:hAnsi="Times New Roman" w:cs="Times New Roman"/>
                <w:sz w:val="20"/>
              </w:rPr>
              <w:lastRenderedPageBreak/>
              <w:t>istniejącymi statystykami i analizami przygotowywanymi przez te podmioty.</w:t>
            </w:r>
          </w:p>
        </w:tc>
        <w:tc>
          <w:tcPr>
            <w:tcW w:w="4160" w:type="dxa"/>
          </w:tcPr>
          <w:p w14:paraId="35447686" w14:textId="77777777" w:rsidR="0099084C" w:rsidRDefault="00A04C20" w:rsidP="0099084C">
            <w:pPr>
              <w:spacing w:before="120" w:after="120"/>
              <w:jc w:val="both"/>
              <w:rPr>
                <w:rFonts w:ascii="Times New Roman" w:hAnsi="Times New Roman" w:cs="Times New Roman"/>
                <w:sz w:val="20"/>
                <w:u w:val="single"/>
              </w:rPr>
            </w:pPr>
            <w:r>
              <w:rPr>
                <w:rFonts w:ascii="Times New Roman" w:hAnsi="Times New Roman" w:cs="Times New Roman"/>
                <w:sz w:val="20"/>
                <w:u w:val="single"/>
              </w:rPr>
              <w:lastRenderedPageBreak/>
              <w:t>Komentarz do uwagi</w:t>
            </w:r>
          </w:p>
          <w:p w14:paraId="30DCD444" w14:textId="389BF432" w:rsidR="00A04C20" w:rsidRPr="00A04C20" w:rsidRDefault="00A2454D" w:rsidP="0099084C">
            <w:pPr>
              <w:spacing w:before="120" w:after="120"/>
              <w:jc w:val="both"/>
              <w:rPr>
                <w:rFonts w:ascii="Times New Roman" w:hAnsi="Times New Roman" w:cs="Times New Roman"/>
                <w:sz w:val="20"/>
              </w:rPr>
            </w:pPr>
            <w:r>
              <w:rPr>
                <w:rFonts w:ascii="Times New Roman" w:hAnsi="Times New Roman" w:cs="Times New Roman"/>
                <w:sz w:val="20"/>
              </w:rPr>
              <w:lastRenderedPageBreak/>
              <w:t>Nie ma potrzeby zapewnienia takiej integracji na poziomie ustawowym.</w:t>
            </w:r>
          </w:p>
        </w:tc>
      </w:tr>
      <w:tr w:rsidR="0099084C" w:rsidRPr="00FF4480" w14:paraId="5E53396C" w14:textId="77777777" w:rsidTr="00E9565F">
        <w:trPr>
          <w:jc w:val="center"/>
        </w:trPr>
        <w:tc>
          <w:tcPr>
            <w:tcW w:w="554" w:type="dxa"/>
          </w:tcPr>
          <w:p w14:paraId="7815418D"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280C0AC" w14:textId="6D181B7E" w:rsidR="0099084C" w:rsidRPr="00247963" w:rsidRDefault="0099084C" w:rsidP="0099084C">
            <w:pPr>
              <w:spacing w:before="120" w:after="120"/>
              <w:rPr>
                <w:rFonts w:ascii="Times New Roman" w:hAnsi="Times New Roman" w:cs="Times New Roman"/>
                <w:sz w:val="20"/>
              </w:rPr>
            </w:pPr>
            <w:r w:rsidRPr="00584F91">
              <w:rPr>
                <w:rFonts w:ascii="Times New Roman" w:hAnsi="Times New Roman" w:cs="Times New Roman"/>
                <w:sz w:val="20"/>
              </w:rPr>
              <w:t>Polski Związek Firm Deweloperskich</w:t>
            </w:r>
          </w:p>
        </w:tc>
        <w:tc>
          <w:tcPr>
            <w:tcW w:w="1905" w:type="dxa"/>
            <w:vAlign w:val="center"/>
          </w:tcPr>
          <w:p w14:paraId="006C6978" w14:textId="04EF49D2" w:rsidR="0099084C" w:rsidRPr="00721C84" w:rsidRDefault="0099084C" w:rsidP="0099084C">
            <w:pPr>
              <w:spacing w:before="120" w:after="120"/>
              <w:jc w:val="center"/>
              <w:rPr>
                <w:rFonts w:ascii="Times New Roman" w:hAnsi="Times New Roman" w:cs="Times New Roman"/>
                <w:sz w:val="20"/>
              </w:rPr>
            </w:pPr>
            <w:r w:rsidRPr="00721C84">
              <w:rPr>
                <w:rFonts w:ascii="Times New Roman" w:hAnsi="Times New Roman" w:cs="Times New Roman"/>
                <w:sz w:val="20"/>
              </w:rPr>
              <w:t>Art. 1 pkt 6 w</w:t>
            </w:r>
            <w:r>
              <w:rPr>
                <w:rFonts w:ascii="Times New Roman" w:hAnsi="Times New Roman" w:cs="Times New Roman"/>
                <w:sz w:val="20"/>
              </w:rPr>
              <w:t> </w:t>
            </w:r>
            <w:r w:rsidRPr="00721C84">
              <w:rPr>
                <w:rFonts w:ascii="Times New Roman" w:hAnsi="Times New Roman" w:cs="Times New Roman"/>
                <w:sz w:val="20"/>
              </w:rPr>
              <w:t>zakresie art. 56</w:t>
            </w:r>
            <w:r>
              <w:rPr>
                <w:rFonts w:ascii="Times New Roman" w:hAnsi="Times New Roman" w:cs="Times New Roman"/>
                <w:sz w:val="20"/>
              </w:rPr>
              <w:t>e</w:t>
            </w:r>
            <w:r w:rsidRPr="00721C84">
              <w:rPr>
                <w:rFonts w:ascii="Times New Roman" w:hAnsi="Times New Roman" w:cs="Times New Roman"/>
                <w:sz w:val="20"/>
              </w:rPr>
              <w:t xml:space="preserve"> ust. </w:t>
            </w:r>
            <w:r>
              <w:rPr>
                <w:rFonts w:ascii="Times New Roman" w:hAnsi="Times New Roman" w:cs="Times New Roman"/>
                <w:sz w:val="20"/>
              </w:rPr>
              <w:t>1</w:t>
            </w:r>
          </w:p>
        </w:tc>
        <w:tc>
          <w:tcPr>
            <w:tcW w:w="5670" w:type="dxa"/>
            <w:vAlign w:val="center"/>
          </w:tcPr>
          <w:p w14:paraId="1BEDADE2"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W odniesieniu do art. 56e ust. 1 projektu ustawy dotyczącego Portalu DOM, przepis ten stanowi, że upubliczniane będą informacje o liczbie transakcji oraz średnich cenach transakcyjnych lokali mieszkalnych i domów jednorodzinnych lub ich medianach w lokalizacji, okresie i przekroju rodzajowym wybranym przez użytkownika Portalu DOM. Umożliwi to osobom zainteresowanym nabyciem nieruchomości uzyskanie informacji na temat cen w wybranym miejscu i czasie, co ma na celu pomóc w wyborze najkorzystniejszej oferty.</w:t>
            </w:r>
          </w:p>
          <w:p w14:paraId="08347D77"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Jednakże przepis ten nie precyzuje, jakie konkretne przekroje terytorialne będą dostępne w ramach udostępnianych danych. Brak precyzji w tym zakresie może prowadzić do niejasności co do tego, w jakiej formie i na jakim poziomie szczegółowości będą prezentowane dane, co może mieć istotne znaczenie dla użytkowników Portalu oraz dla deweloperów i sprzedających. Nie jest jasne, czy dane będą dostępne na poziomie:</w:t>
            </w:r>
          </w:p>
          <w:p w14:paraId="60BDE0D8"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1.</w:t>
            </w:r>
            <w:r w:rsidRPr="00584F91">
              <w:rPr>
                <w:rFonts w:ascii="Times New Roman" w:hAnsi="Times New Roman" w:cs="Times New Roman"/>
                <w:sz w:val="20"/>
              </w:rPr>
              <w:tab/>
              <w:t>Określonych adresów – co może prowadzić do bardzo szczegółowej identyfikacji poszczególnych transakcji;</w:t>
            </w:r>
          </w:p>
          <w:p w14:paraId="6F67BB86"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2.</w:t>
            </w:r>
            <w:r w:rsidRPr="00584F91">
              <w:rPr>
                <w:rFonts w:ascii="Times New Roman" w:hAnsi="Times New Roman" w:cs="Times New Roman"/>
                <w:sz w:val="20"/>
              </w:rPr>
              <w:tab/>
              <w:t>Ulic – co również może mieć wpływ na ograniczoną liczbę transakcji, szczególnie w mniej zurbanizowanych obszarach;</w:t>
            </w:r>
          </w:p>
          <w:p w14:paraId="7991E396"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3.</w:t>
            </w:r>
            <w:r w:rsidRPr="00584F91">
              <w:rPr>
                <w:rFonts w:ascii="Times New Roman" w:hAnsi="Times New Roman" w:cs="Times New Roman"/>
                <w:sz w:val="20"/>
              </w:rPr>
              <w:tab/>
              <w:t>Jednostek administracyjnych – takich jak osiedla, dzielnice, gminy, powiaty czy województwa, co może zapewniać bardziej ogólne dane, ale mniej przydatne w precyzyjnym porównywaniu cen.</w:t>
            </w:r>
          </w:p>
          <w:p w14:paraId="6CD4DE83"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Proponowana uwaga:</w:t>
            </w:r>
          </w:p>
          <w:p w14:paraId="3D692C85"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Należy uzupełnić art. 56e ust. 1 o wskazanie, jakie konkretnie przekroje terytorialne będą dostępne w ramach Portalu DOM. Nieprecyzyjne określenie "lokalizacji" w obecnym brzmieniu przepisu może prowadzić do istotnych problemów interpretacyjnych i praktycznych. W szczególności należy rozważyć, czy dane będą udostępniane na poziomie: adresu, ulicy, dzielnicy, gminy, powiatu, województwa.</w:t>
            </w:r>
          </w:p>
          <w:p w14:paraId="06DDB792"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lastRenderedPageBreak/>
              <w:t>Brak doprecyzowania może prowadzić do ryzyka naruszenia prywatności osób fizycznych, a także zasad uczciwej konkurencji, zwłaszcza jeśli dane będą mogły być powiązane z indywidualnymi adresami nieruchomości lub zidentyfikowanymi deweloperami. Zbyt szczegółowe dane mogą wpływać na sposób prowadzenia działalności przez deweloperów, np. poprzez zmniejszenie konkurencyjności ofert lub ich sztuczne zawyżanie. Z drugiej strony, zbyt ogólne dane mogą nie spełniać celu informacyjnego Portalu i być mało przydatne dla nabywców nieruchomości.</w:t>
            </w:r>
          </w:p>
          <w:p w14:paraId="02D819EF" w14:textId="77777777" w:rsidR="0099084C" w:rsidRPr="00584F91"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Istnieje też ryzyko, że analiza tych danych może ujawnić strategie sprzedażowe poszczególnych deweloperów. W mniejszych lokalizacjach, gdzie liczba transakcji jest ograniczona, a deweloperów działających na rynku jest niewielu, łatwo może dojść do ujawnienia, które transakcje dotyczą których firm.</w:t>
            </w:r>
          </w:p>
          <w:p w14:paraId="5A16D20C" w14:textId="1CA4AE52" w:rsidR="0099084C" w:rsidRPr="00E006FD" w:rsidRDefault="0099084C" w:rsidP="0099084C">
            <w:pPr>
              <w:spacing w:before="120" w:after="120"/>
              <w:jc w:val="both"/>
              <w:rPr>
                <w:rFonts w:ascii="Times New Roman" w:hAnsi="Times New Roman" w:cs="Times New Roman"/>
                <w:sz w:val="20"/>
              </w:rPr>
            </w:pPr>
            <w:r w:rsidRPr="00584F91">
              <w:rPr>
                <w:rFonts w:ascii="Times New Roman" w:hAnsi="Times New Roman" w:cs="Times New Roman"/>
                <w:sz w:val="20"/>
              </w:rPr>
              <w:t>Doprecyzowanie tego przepisu jest kluczowe dla zapewnienia równowagi pomiędzy przejrzystością rynku nieruchomości a ochroną danych i zasad uczciwej konkurencji.</w:t>
            </w:r>
          </w:p>
        </w:tc>
        <w:tc>
          <w:tcPr>
            <w:tcW w:w="4160" w:type="dxa"/>
          </w:tcPr>
          <w:p w14:paraId="7E698609" w14:textId="509F6B15" w:rsidR="0099084C" w:rsidRPr="00C72CE5" w:rsidRDefault="00C72CE5" w:rsidP="0099084C">
            <w:pPr>
              <w:spacing w:before="120" w:after="120"/>
              <w:jc w:val="both"/>
              <w:rPr>
                <w:rFonts w:ascii="Times New Roman" w:hAnsi="Times New Roman" w:cs="Times New Roman"/>
                <w:b/>
                <w:bCs/>
                <w:sz w:val="20"/>
              </w:rPr>
            </w:pPr>
            <w:r w:rsidRPr="00C72CE5">
              <w:rPr>
                <w:rFonts w:ascii="Times New Roman" w:hAnsi="Times New Roman" w:cs="Times New Roman"/>
                <w:b/>
                <w:bCs/>
                <w:sz w:val="20"/>
              </w:rPr>
              <w:lastRenderedPageBreak/>
              <w:t>Uwag</w:t>
            </w:r>
            <w:r w:rsidR="00273882">
              <w:rPr>
                <w:rFonts w:ascii="Times New Roman" w:hAnsi="Times New Roman" w:cs="Times New Roman"/>
                <w:b/>
                <w:bCs/>
                <w:sz w:val="20"/>
              </w:rPr>
              <w:t>a</w:t>
            </w:r>
            <w:r w:rsidRPr="00C72CE5">
              <w:rPr>
                <w:rFonts w:ascii="Times New Roman" w:hAnsi="Times New Roman" w:cs="Times New Roman"/>
                <w:b/>
                <w:bCs/>
                <w:sz w:val="20"/>
              </w:rPr>
              <w:t xml:space="preserve"> nieuwzględnion</w:t>
            </w:r>
            <w:r w:rsidR="00273882">
              <w:rPr>
                <w:rFonts w:ascii="Times New Roman" w:hAnsi="Times New Roman" w:cs="Times New Roman"/>
                <w:b/>
                <w:bCs/>
                <w:sz w:val="20"/>
              </w:rPr>
              <w:t>a</w:t>
            </w:r>
          </w:p>
          <w:p w14:paraId="260BFB15" w14:textId="7035478C" w:rsidR="00C72CE5" w:rsidRDefault="00137320" w:rsidP="0099084C">
            <w:pPr>
              <w:spacing w:before="120" w:after="120"/>
              <w:jc w:val="both"/>
              <w:rPr>
                <w:rFonts w:ascii="Times New Roman" w:hAnsi="Times New Roman" w:cs="Times New Roman"/>
                <w:sz w:val="20"/>
              </w:rPr>
            </w:pPr>
            <w:r w:rsidRPr="00137320">
              <w:rPr>
                <w:rFonts w:ascii="Times New Roman" w:hAnsi="Times New Roman" w:cs="Times New Roman"/>
                <w:sz w:val="20"/>
              </w:rPr>
              <w:t xml:space="preserve">Ogólny charakter tych </w:t>
            </w:r>
            <w:r>
              <w:rPr>
                <w:rFonts w:ascii="Times New Roman" w:hAnsi="Times New Roman" w:cs="Times New Roman"/>
                <w:sz w:val="20"/>
              </w:rPr>
              <w:t xml:space="preserve">przepisów jest zgodny z intencją projektodawcy i zasadami tworzenia przepisów prawa. Zbytnia kazuistyka na poziomie normatywnym ograniczałaby użyteczność Portalu DOM. </w:t>
            </w:r>
            <w:r w:rsidR="00273882">
              <w:rPr>
                <w:rFonts w:ascii="Times New Roman" w:hAnsi="Times New Roman" w:cs="Times New Roman"/>
                <w:sz w:val="20"/>
              </w:rPr>
              <w:t>Powodowałaby także konieczność częstszego nowelizowania ustawy</w:t>
            </w:r>
            <w:r w:rsidR="005643B3">
              <w:rPr>
                <w:rFonts w:ascii="Times New Roman" w:hAnsi="Times New Roman" w:cs="Times New Roman"/>
                <w:sz w:val="20"/>
              </w:rPr>
              <w:t>, w przypadku np. braku uwzględnienia w</w:t>
            </w:r>
            <w:r w:rsidR="00524F0F">
              <w:rPr>
                <w:rFonts w:ascii="Times New Roman" w:hAnsi="Times New Roman" w:cs="Times New Roman"/>
                <w:sz w:val="20"/>
              </w:rPr>
              <w:t> </w:t>
            </w:r>
            <w:r w:rsidR="005643B3">
              <w:rPr>
                <w:rFonts w:ascii="Times New Roman" w:hAnsi="Times New Roman" w:cs="Times New Roman"/>
                <w:sz w:val="20"/>
              </w:rPr>
              <w:t>pierwotnych przepisach pojawiających się w</w:t>
            </w:r>
            <w:r w:rsidR="00524F0F">
              <w:rPr>
                <w:rFonts w:ascii="Times New Roman" w:hAnsi="Times New Roman" w:cs="Times New Roman"/>
                <w:sz w:val="20"/>
              </w:rPr>
              <w:t> </w:t>
            </w:r>
            <w:r w:rsidR="005643B3">
              <w:rPr>
                <w:rFonts w:ascii="Times New Roman" w:hAnsi="Times New Roman" w:cs="Times New Roman"/>
                <w:sz w:val="20"/>
              </w:rPr>
              <w:t xml:space="preserve">zależności od okoliczności potrzeb analitycznych. </w:t>
            </w:r>
          </w:p>
          <w:p w14:paraId="4BECE9DC" w14:textId="6659EEA1" w:rsidR="00273882" w:rsidRDefault="00273882" w:rsidP="0099084C">
            <w:pPr>
              <w:spacing w:before="120" w:after="120"/>
              <w:jc w:val="both"/>
              <w:rPr>
                <w:rFonts w:ascii="Times New Roman" w:hAnsi="Times New Roman" w:cs="Times New Roman"/>
                <w:sz w:val="20"/>
              </w:rPr>
            </w:pPr>
            <w:r>
              <w:rPr>
                <w:rFonts w:ascii="Times New Roman" w:hAnsi="Times New Roman" w:cs="Times New Roman"/>
                <w:sz w:val="20"/>
              </w:rPr>
              <w:t>Mając na względzie wcześniejszą argumentację dotyczącą przejrzystości działań deweloperów, doprecyzowanie jest niecelowe również z punktu widzenia ochrony interesów stron. Został bowiem wprowadzony mechanizm ochrony uniemożliwiający generowanie wyniku na</w:t>
            </w:r>
            <w:r w:rsidR="00524F0F">
              <w:rPr>
                <w:rFonts w:ascii="Times New Roman" w:hAnsi="Times New Roman" w:cs="Times New Roman"/>
                <w:sz w:val="20"/>
              </w:rPr>
              <w:t> </w:t>
            </w:r>
            <w:r>
              <w:rPr>
                <w:rFonts w:ascii="Times New Roman" w:hAnsi="Times New Roman" w:cs="Times New Roman"/>
                <w:sz w:val="20"/>
              </w:rPr>
              <w:t>podstawie konkretnej transakcji.</w:t>
            </w:r>
          </w:p>
          <w:p w14:paraId="64466584" w14:textId="15B07EE1" w:rsidR="00030F2D" w:rsidRDefault="00030F2D" w:rsidP="0099084C">
            <w:pPr>
              <w:spacing w:before="120" w:after="120"/>
              <w:jc w:val="both"/>
              <w:rPr>
                <w:rFonts w:ascii="Times New Roman" w:hAnsi="Times New Roman" w:cs="Times New Roman"/>
                <w:sz w:val="20"/>
              </w:rPr>
            </w:pPr>
            <w:r>
              <w:rPr>
                <w:rFonts w:ascii="Times New Roman" w:hAnsi="Times New Roman" w:cs="Times New Roman"/>
                <w:sz w:val="20"/>
              </w:rPr>
              <w:t xml:space="preserve">Na marginesie należy zauważyć, że zakresem informacji statystycznych objęte zostaną ceny transakcyjne a nie ofertowe. </w:t>
            </w:r>
          </w:p>
          <w:p w14:paraId="3884EBB4" w14:textId="643DD9BF" w:rsidR="00273882" w:rsidRPr="00137320" w:rsidRDefault="00273882" w:rsidP="0099084C">
            <w:pPr>
              <w:spacing w:before="120" w:after="120"/>
              <w:jc w:val="both"/>
              <w:rPr>
                <w:rFonts w:ascii="Times New Roman" w:hAnsi="Times New Roman" w:cs="Times New Roman"/>
                <w:sz w:val="20"/>
              </w:rPr>
            </w:pPr>
          </w:p>
        </w:tc>
      </w:tr>
      <w:tr w:rsidR="0099084C" w:rsidRPr="00FF4480" w14:paraId="202D1C6C" w14:textId="77777777" w:rsidTr="00E9565F">
        <w:trPr>
          <w:jc w:val="center"/>
        </w:trPr>
        <w:tc>
          <w:tcPr>
            <w:tcW w:w="554" w:type="dxa"/>
          </w:tcPr>
          <w:p w14:paraId="4017DFE8"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6EF59295" w14:textId="64A6A828" w:rsidR="0099084C" w:rsidRPr="00406800"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5E054D05" w14:textId="6C096937" w:rsidR="0099084C" w:rsidRPr="00406800" w:rsidRDefault="0099084C" w:rsidP="0099084C">
            <w:pPr>
              <w:spacing w:before="120" w:after="120"/>
              <w:jc w:val="center"/>
              <w:rPr>
                <w:rFonts w:ascii="Times New Roman" w:hAnsi="Times New Roman" w:cs="Times New Roman"/>
                <w:sz w:val="20"/>
              </w:rPr>
            </w:pPr>
            <w:r w:rsidRPr="00721C84">
              <w:rPr>
                <w:rFonts w:ascii="Times New Roman" w:hAnsi="Times New Roman" w:cs="Times New Roman"/>
                <w:sz w:val="20"/>
              </w:rPr>
              <w:t>Art. 1 pkt 6 w</w:t>
            </w:r>
            <w:r>
              <w:rPr>
                <w:rFonts w:ascii="Times New Roman" w:hAnsi="Times New Roman" w:cs="Times New Roman"/>
                <w:sz w:val="20"/>
              </w:rPr>
              <w:t> </w:t>
            </w:r>
            <w:r w:rsidRPr="00721C84">
              <w:rPr>
                <w:rFonts w:ascii="Times New Roman" w:hAnsi="Times New Roman" w:cs="Times New Roman"/>
                <w:sz w:val="20"/>
              </w:rPr>
              <w:t>zakresie art. 56</w:t>
            </w:r>
            <w:r>
              <w:rPr>
                <w:rFonts w:ascii="Times New Roman" w:hAnsi="Times New Roman" w:cs="Times New Roman"/>
                <w:sz w:val="20"/>
              </w:rPr>
              <w:t>e</w:t>
            </w:r>
            <w:r w:rsidRPr="00721C84">
              <w:rPr>
                <w:rFonts w:ascii="Times New Roman" w:hAnsi="Times New Roman" w:cs="Times New Roman"/>
                <w:sz w:val="20"/>
              </w:rPr>
              <w:t xml:space="preserve"> ust. </w:t>
            </w:r>
            <w:r>
              <w:rPr>
                <w:rFonts w:ascii="Times New Roman" w:hAnsi="Times New Roman" w:cs="Times New Roman"/>
                <w:sz w:val="20"/>
              </w:rPr>
              <w:t>3</w:t>
            </w:r>
          </w:p>
        </w:tc>
        <w:tc>
          <w:tcPr>
            <w:tcW w:w="5670" w:type="dxa"/>
            <w:vAlign w:val="center"/>
          </w:tcPr>
          <w:p w14:paraId="0C68B26E" w14:textId="4031187C" w:rsidR="0099084C" w:rsidRPr="00225FB4" w:rsidRDefault="0099084C" w:rsidP="0099084C">
            <w:pPr>
              <w:spacing w:before="120" w:after="120"/>
              <w:jc w:val="both"/>
              <w:rPr>
                <w:rFonts w:ascii="Times New Roman" w:hAnsi="Times New Roman" w:cs="Times New Roman"/>
                <w:sz w:val="20"/>
              </w:rPr>
            </w:pPr>
            <w:r w:rsidRPr="00E006FD">
              <w:rPr>
                <w:rFonts w:ascii="Times New Roman" w:hAnsi="Times New Roman" w:cs="Times New Roman"/>
                <w:sz w:val="20"/>
              </w:rPr>
              <w:t>Zapis wskazanej jednostki redakcyjnej wydaje się być zbędny, gdyż określono już wcześniej kto jest nabywcą celów Portalu DOM. Nie zrozumiałe jest zatem użycie pojęcia „również”.</w:t>
            </w:r>
          </w:p>
        </w:tc>
        <w:tc>
          <w:tcPr>
            <w:tcW w:w="4160" w:type="dxa"/>
          </w:tcPr>
          <w:p w14:paraId="7D32BC51" w14:textId="77777777" w:rsidR="003C153B" w:rsidRPr="005303EA" w:rsidRDefault="003C153B" w:rsidP="003C153B">
            <w:pPr>
              <w:spacing w:before="120" w:after="120"/>
              <w:jc w:val="both"/>
              <w:rPr>
                <w:rFonts w:ascii="Times New Roman" w:hAnsi="Times New Roman" w:cs="Times New Roman"/>
                <w:sz w:val="20"/>
                <w:u w:val="single"/>
              </w:rPr>
            </w:pPr>
            <w:r w:rsidRPr="005303EA">
              <w:rPr>
                <w:rFonts w:ascii="Times New Roman" w:hAnsi="Times New Roman" w:cs="Times New Roman"/>
                <w:sz w:val="20"/>
                <w:u w:val="single"/>
              </w:rPr>
              <w:t>Komentarz do uwagi</w:t>
            </w:r>
          </w:p>
          <w:p w14:paraId="2791D1DF" w14:textId="21E165AD" w:rsidR="0099084C" w:rsidRPr="00D71B0F" w:rsidRDefault="003C153B" w:rsidP="008D4AA5">
            <w:pPr>
              <w:spacing w:before="120" w:after="120"/>
              <w:jc w:val="both"/>
              <w:rPr>
                <w:rFonts w:ascii="Times New Roman" w:hAnsi="Times New Roman" w:cs="Times New Roman"/>
                <w:sz w:val="20"/>
              </w:rPr>
            </w:pPr>
            <w:r>
              <w:rPr>
                <w:rFonts w:ascii="Times New Roman" w:hAnsi="Times New Roman" w:cs="Times New Roman"/>
                <w:sz w:val="20"/>
              </w:rPr>
              <w:t xml:space="preserve">W </w:t>
            </w:r>
            <w:r w:rsidR="008D4AA5" w:rsidRPr="008D4AA5">
              <w:rPr>
                <w:rFonts w:ascii="Times New Roman" w:hAnsi="Times New Roman" w:cs="Times New Roman"/>
                <w:sz w:val="20"/>
              </w:rPr>
              <w:t>związku z wykreśleniem przepisu uwaga stała się bezprzedmiotowa</w:t>
            </w:r>
            <w:r w:rsidR="008D4AA5">
              <w:rPr>
                <w:rFonts w:ascii="Times New Roman" w:hAnsi="Times New Roman" w:cs="Times New Roman"/>
                <w:sz w:val="20"/>
              </w:rPr>
              <w:t>.</w:t>
            </w:r>
          </w:p>
        </w:tc>
      </w:tr>
      <w:tr w:rsidR="0099084C" w:rsidRPr="00FF4480" w14:paraId="22742FB5" w14:textId="77777777" w:rsidTr="00E9565F">
        <w:trPr>
          <w:jc w:val="center"/>
        </w:trPr>
        <w:tc>
          <w:tcPr>
            <w:tcW w:w="554" w:type="dxa"/>
          </w:tcPr>
          <w:p w14:paraId="7D43D06B"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D9F8F2F" w14:textId="3B752FAD" w:rsidR="0099084C" w:rsidRPr="00406800" w:rsidRDefault="0099084C" w:rsidP="0099084C">
            <w:pPr>
              <w:spacing w:before="120" w:after="120"/>
              <w:rPr>
                <w:rFonts w:ascii="Times New Roman" w:hAnsi="Times New Roman" w:cs="Times New Roman"/>
                <w:sz w:val="20"/>
              </w:rPr>
            </w:pPr>
            <w:r w:rsidRPr="002B488D">
              <w:rPr>
                <w:rFonts w:ascii="Times New Roman" w:hAnsi="Times New Roman" w:cs="Times New Roman"/>
                <w:sz w:val="20"/>
              </w:rPr>
              <w:t>Polski Związek Pracodawców Budownictwa</w:t>
            </w:r>
          </w:p>
        </w:tc>
        <w:tc>
          <w:tcPr>
            <w:tcW w:w="1905" w:type="dxa"/>
            <w:vAlign w:val="center"/>
          </w:tcPr>
          <w:p w14:paraId="5D44D0B8" w14:textId="29EC58A9" w:rsidR="0099084C" w:rsidRPr="00406800"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1 pkt 7</w:t>
            </w:r>
          </w:p>
        </w:tc>
        <w:tc>
          <w:tcPr>
            <w:tcW w:w="5670" w:type="dxa"/>
            <w:vAlign w:val="center"/>
          </w:tcPr>
          <w:p w14:paraId="55978D22" w14:textId="77777777" w:rsidR="0099084C" w:rsidRPr="002B488D" w:rsidRDefault="0099084C" w:rsidP="0099084C">
            <w:pPr>
              <w:spacing w:before="120" w:after="120"/>
              <w:jc w:val="both"/>
              <w:rPr>
                <w:rFonts w:ascii="Times New Roman" w:hAnsi="Times New Roman" w:cs="Times New Roman"/>
                <w:sz w:val="20"/>
              </w:rPr>
            </w:pPr>
            <w:r w:rsidRPr="002B488D">
              <w:rPr>
                <w:rFonts w:ascii="Times New Roman" w:hAnsi="Times New Roman" w:cs="Times New Roman"/>
                <w:sz w:val="20"/>
              </w:rPr>
              <w:t xml:space="preserve">Rozszerzony obowiązek raportowania objęty będzie sankcją wstrzymania wypłaty środków z mieszkaniowego rachunku powierniczego, która funkcjonuje na gruncie aktualnie obowiązujących przepisów prawa w stosunku do Ewidencji. </w:t>
            </w:r>
          </w:p>
          <w:p w14:paraId="320E40D9" w14:textId="77777777" w:rsidR="0099084C" w:rsidRPr="002B488D" w:rsidRDefault="0099084C" w:rsidP="0099084C">
            <w:pPr>
              <w:spacing w:before="120" w:after="120"/>
              <w:jc w:val="both"/>
              <w:rPr>
                <w:rFonts w:ascii="Times New Roman" w:hAnsi="Times New Roman" w:cs="Times New Roman"/>
                <w:sz w:val="20"/>
              </w:rPr>
            </w:pPr>
            <w:r w:rsidRPr="002B488D">
              <w:rPr>
                <w:rFonts w:ascii="Times New Roman" w:hAnsi="Times New Roman" w:cs="Times New Roman"/>
                <w:sz w:val="20"/>
              </w:rPr>
              <w:t xml:space="preserve">Należy wskazać, że zablokowanie wypłat środków wpłacanych przez nabywców na rachunki powiernicze z powodu naruszenia obowiązku nałożonego w projektowanej ustawie może w skrajnych przypadkach prowadzić do utraty płynności finansowej i zagrażać właśnie wypłacalności dewelopera, czyli doprowadzić do skutku odwrotnego do zamierzonego. Celem ustawy z dnia 20 maja 2021 r. o ochronie praw nabywcy lokalu mieszkalnego lub domu jednorodzinnego oraz Deweloperskim Funduszu Gwarancyjnym było zwiększenie bezpieczeństwa inwestycji na mieszkaniowym </w:t>
            </w:r>
            <w:r w:rsidRPr="002B488D">
              <w:rPr>
                <w:rFonts w:ascii="Times New Roman" w:hAnsi="Times New Roman" w:cs="Times New Roman"/>
                <w:sz w:val="20"/>
              </w:rPr>
              <w:lastRenderedPageBreak/>
              <w:t xml:space="preserve">rynku pierwotnym, zatem utworzenie portalu informacyjnego, nie powinno tego celu naruszać.   </w:t>
            </w:r>
          </w:p>
          <w:p w14:paraId="34080A19" w14:textId="67DA8318" w:rsidR="0099084C" w:rsidRPr="00225FB4" w:rsidRDefault="0099084C" w:rsidP="0099084C">
            <w:pPr>
              <w:spacing w:before="120" w:after="120"/>
              <w:jc w:val="both"/>
              <w:rPr>
                <w:rFonts w:ascii="Times New Roman" w:hAnsi="Times New Roman" w:cs="Times New Roman"/>
                <w:sz w:val="20"/>
              </w:rPr>
            </w:pPr>
            <w:r w:rsidRPr="002B488D">
              <w:rPr>
                <w:rFonts w:ascii="Times New Roman" w:hAnsi="Times New Roman" w:cs="Times New Roman"/>
                <w:sz w:val="20"/>
              </w:rPr>
              <w:t>Dodatkowo wprowadzono przepisy regulujące odpowiedzialność karną za nieprzekazywanie danych do Portalu DOM lub przekazywanie danych niezgodnych ze stanem faktycznym, co jest istotnym rozszerzeniem odpowiedzialności, gdyż nie funkcjonuje aktualnie w stosunku do Ewidencji.</w:t>
            </w:r>
          </w:p>
        </w:tc>
        <w:tc>
          <w:tcPr>
            <w:tcW w:w="4160" w:type="dxa"/>
          </w:tcPr>
          <w:p w14:paraId="4ADE5440" w14:textId="77777777" w:rsidR="0099084C" w:rsidRPr="00AF1176" w:rsidRDefault="00AF1176" w:rsidP="0099084C">
            <w:pPr>
              <w:spacing w:before="120" w:after="120"/>
              <w:jc w:val="both"/>
              <w:rPr>
                <w:rFonts w:ascii="Times New Roman" w:hAnsi="Times New Roman" w:cs="Times New Roman"/>
                <w:sz w:val="20"/>
                <w:u w:val="single"/>
              </w:rPr>
            </w:pPr>
            <w:r w:rsidRPr="00AF1176">
              <w:rPr>
                <w:rFonts w:ascii="Times New Roman" w:hAnsi="Times New Roman" w:cs="Times New Roman"/>
                <w:sz w:val="20"/>
                <w:u w:val="single"/>
              </w:rPr>
              <w:lastRenderedPageBreak/>
              <w:t>Komentarz do uwagi</w:t>
            </w:r>
          </w:p>
          <w:p w14:paraId="21EB4A11" w14:textId="77777777" w:rsidR="00AF1176" w:rsidRDefault="00F61A57" w:rsidP="0099084C">
            <w:pPr>
              <w:spacing w:before="120" w:after="120"/>
              <w:jc w:val="both"/>
              <w:rPr>
                <w:rFonts w:ascii="Times New Roman" w:hAnsi="Times New Roman" w:cs="Times New Roman"/>
                <w:sz w:val="20"/>
              </w:rPr>
            </w:pPr>
            <w:r>
              <w:rPr>
                <w:rFonts w:ascii="Times New Roman" w:hAnsi="Times New Roman" w:cs="Times New Roman"/>
                <w:sz w:val="20"/>
              </w:rPr>
              <w:t xml:space="preserve">Jak słusznie zauważył </w:t>
            </w:r>
            <w:proofErr w:type="spellStart"/>
            <w:r>
              <w:rPr>
                <w:rFonts w:ascii="Times New Roman" w:hAnsi="Times New Roman" w:cs="Times New Roman"/>
                <w:sz w:val="20"/>
              </w:rPr>
              <w:t>Uwagodawca</w:t>
            </w:r>
            <w:proofErr w:type="spellEnd"/>
            <w:r>
              <w:rPr>
                <w:rFonts w:ascii="Times New Roman" w:hAnsi="Times New Roman" w:cs="Times New Roman"/>
                <w:sz w:val="20"/>
              </w:rPr>
              <w:t>, sankcja ta już obowiązuje. Co więcej, zakres danych wymaganych dodatkowo do uzupełnienia jest niewielki w relacji do już zbieranych w Ewidencji danych. Najlepszym sposobem uniknięcia ryzyka niewypłacalności jest po prostu dopełnienie ustawowego obowiązku.</w:t>
            </w:r>
          </w:p>
          <w:p w14:paraId="33782019" w14:textId="156752AA" w:rsidR="00F61A57" w:rsidRPr="00EA7F10" w:rsidRDefault="00F61A57" w:rsidP="0099084C">
            <w:pPr>
              <w:spacing w:before="120" w:after="120"/>
              <w:jc w:val="both"/>
              <w:rPr>
                <w:rFonts w:ascii="Times New Roman" w:hAnsi="Times New Roman" w:cs="Times New Roman"/>
                <w:sz w:val="20"/>
              </w:rPr>
            </w:pPr>
            <w:r>
              <w:rPr>
                <w:rFonts w:ascii="Times New Roman" w:hAnsi="Times New Roman" w:cs="Times New Roman"/>
                <w:sz w:val="20"/>
              </w:rPr>
              <w:t xml:space="preserve">Odnosząc się do drugiej uwagi, sankcją w przypadku podmiotów obowiązanych do zgłoszenia do Ewidencji jest wspomniane przez </w:t>
            </w:r>
            <w:proofErr w:type="spellStart"/>
            <w:r>
              <w:rPr>
                <w:rFonts w:ascii="Times New Roman" w:hAnsi="Times New Roman" w:cs="Times New Roman"/>
                <w:sz w:val="20"/>
              </w:rPr>
              <w:t>Uwagodawcę</w:t>
            </w:r>
            <w:proofErr w:type="spellEnd"/>
            <w:r>
              <w:rPr>
                <w:rFonts w:ascii="Times New Roman" w:hAnsi="Times New Roman" w:cs="Times New Roman"/>
                <w:sz w:val="20"/>
              </w:rPr>
              <w:t xml:space="preserve"> </w:t>
            </w:r>
            <w:r w:rsidRPr="00F61A57">
              <w:rPr>
                <w:rFonts w:ascii="Times New Roman" w:hAnsi="Times New Roman" w:cs="Times New Roman"/>
                <w:sz w:val="20"/>
              </w:rPr>
              <w:t>wstrzym</w:t>
            </w:r>
            <w:r>
              <w:rPr>
                <w:rFonts w:ascii="Times New Roman" w:hAnsi="Times New Roman" w:cs="Times New Roman"/>
                <w:sz w:val="20"/>
              </w:rPr>
              <w:t>anie</w:t>
            </w:r>
            <w:r w:rsidRPr="00F61A57">
              <w:rPr>
                <w:rFonts w:ascii="Times New Roman" w:hAnsi="Times New Roman" w:cs="Times New Roman"/>
                <w:sz w:val="20"/>
              </w:rPr>
              <w:t xml:space="preserve"> wypłat</w:t>
            </w:r>
            <w:r>
              <w:rPr>
                <w:rFonts w:ascii="Times New Roman" w:hAnsi="Times New Roman" w:cs="Times New Roman"/>
                <w:sz w:val="20"/>
              </w:rPr>
              <w:t>y</w:t>
            </w:r>
            <w:r w:rsidRPr="00F61A57">
              <w:rPr>
                <w:rFonts w:ascii="Times New Roman" w:hAnsi="Times New Roman" w:cs="Times New Roman"/>
                <w:sz w:val="20"/>
              </w:rPr>
              <w:t xml:space="preserve"> środków z</w:t>
            </w:r>
            <w:r>
              <w:rPr>
                <w:rFonts w:ascii="Times New Roman" w:hAnsi="Times New Roman" w:cs="Times New Roman"/>
                <w:sz w:val="20"/>
              </w:rPr>
              <w:t> </w:t>
            </w:r>
            <w:r w:rsidRPr="00F61A57">
              <w:rPr>
                <w:rFonts w:ascii="Times New Roman" w:hAnsi="Times New Roman" w:cs="Times New Roman"/>
                <w:sz w:val="20"/>
              </w:rPr>
              <w:t>mieszkaniowego rachunku powierniczego</w:t>
            </w:r>
            <w:r>
              <w:rPr>
                <w:rFonts w:ascii="Times New Roman" w:hAnsi="Times New Roman" w:cs="Times New Roman"/>
                <w:sz w:val="20"/>
              </w:rPr>
              <w:t xml:space="preserve">. W przypadku innych podmiotów profesjonalnych </w:t>
            </w:r>
            <w:r>
              <w:rPr>
                <w:rFonts w:ascii="Times New Roman" w:hAnsi="Times New Roman" w:cs="Times New Roman"/>
                <w:sz w:val="20"/>
              </w:rPr>
              <w:lastRenderedPageBreak/>
              <w:t>nie jest to możliwe, gdyż nie są one objęte obowiązkiem prowadzenia takiego rachunku</w:t>
            </w:r>
            <w:r w:rsidR="00553B6F">
              <w:rPr>
                <w:rFonts w:ascii="Times New Roman" w:hAnsi="Times New Roman" w:cs="Times New Roman"/>
                <w:sz w:val="20"/>
              </w:rPr>
              <w:t xml:space="preserve">, </w:t>
            </w:r>
            <w:r>
              <w:rPr>
                <w:rFonts w:ascii="Times New Roman" w:hAnsi="Times New Roman" w:cs="Times New Roman"/>
                <w:sz w:val="20"/>
              </w:rPr>
              <w:t>dlatego konieczne było określenie sankcji przez przepis karny.</w:t>
            </w:r>
          </w:p>
        </w:tc>
      </w:tr>
      <w:tr w:rsidR="0099084C" w:rsidRPr="00FF4480" w14:paraId="571333B4" w14:textId="77777777" w:rsidTr="00E9565F">
        <w:trPr>
          <w:jc w:val="center"/>
        </w:trPr>
        <w:tc>
          <w:tcPr>
            <w:tcW w:w="554" w:type="dxa"/>
          </w:tcPr>
          <w:p w14:paraId="464A5F40"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E34EFAB" w14:textId="51D85C78" w:rsidR="0099084C" w:rsidRPr="002B488D" w:rsidRDefault="0099084C" w:rsidP="0099084C">
            <w:pPr>
              <w:spacing w:before="120" w:after="120"/>
              <w:rPr>
                <w:rFonts w:ascii="Times New Roman" w:hAnsi="Times New Roman" w:cs="Times New Roman"/>
                <w:sz w:val="20"/>
              </w:rPr>
            </w:pPr>
            <w:r w:rsidRPr="00B67409">
              <w:rPr>
                <w:rFonts w:ascii="Times New Roman" w:hAnsi="Times New Roman" w:cs="Times New Roman"/>
                <w:sz w:val="20"/>
              </w:rPr>
              <w:t>Związek Banków Polskich</w:t>
            </w:r>
          </w:p>
        </w:tc>
        <w:tc>
          <w:tcPr>
            <w:tcW w:w="1905" w:type="dxa"/>
            <w:vAlign w:val="center"/>
          </w:tcPr>
          <w:p w14:paraId="3FDB4FA8" w14:textId="6C0F8B00" w:rsidR="0099084C" w:rsidRDefault="0099084C" w:rsidP="0099084C">
            <w:pPr>
              <w:spacing w:before="120" w:after="120"/>
              <w:jc w:val="center"/>
              <w:rPr>
                <w:rFonts w:ascii="Times New Roman" w:hAnsi="Times New Roman" w:cs="Times New Roman"/>
                <w:sz w:val="20"/>
              </w:rPr>
            </w:pPr>
            <w:r w:rsidRPr="00B67409">
              <w:rPr>
                <w:rFonts w:ascii="Times New Roman" w:hAnsi="Times New Roman" w:cs="Times New Roman"/>
                <w:sz w:val="20"/>
              </w:rPr>
              <w:t>Art. 1 pkt 7</w:t>
            </w:r>
          </w:p>
        </w:tc>
        <w:tc>
          <w:tcPr>
            <w:tcW w:w="5670" w:type="dxa"/>
            <w:vAlign w:val="center"/>
          </w:tcPr>
          <w:p w14:paraId="5B8BC662" w14:textId="6A870083" w:rsidR="0099084C" w:rsidRPr="002B488D" w:rsidRDefault="0099084C" w:rsidP="0099084C">
            <w:pPr>
              <w:spacing w:before="120" w:after="120"/>
              <w:jc w:val="both"/>
              <w:rPr>
                <w:rFonts w:ascii="Times New Roman" w:hAnsi="Times New Roman" w:cs="Times New Roman"/>
                <w:sz w:val="20"/>
              </w:rPr>
            </w:pPr>
            <w:r w:rsidRPr="00B67409">
              <w:rPr>
                <w:rFonts w:ascii="Times New Roman" w:hAnsi="Times New Roman" w:cs="Times New Roman"/>
                <w:sz w:val="20"/>
              </w:rPr>
              <w:t>Art. 60a ust. 2 jest zbędny. Wprowadzanie uprzywilejowanej postaci czynu zabronionego jest racjonalne, gdy stwarza możliwość sankcji niższej niż najniższa przy postaci podstawowej, w tym przypadku taka sytuacja nie występuje na podstawie ust. 1 można orzec grzywnę w najniższej wysokości.</w:t>
            </w:r>
          </w:p>
        </w:tc>
        <w:tc>
          <w:tcPr>
            <w:tcW w:w="4160" w:type="dxa"/>
          </w:tcPr>
          <w:p w14:paraId="1C467C17" w14:textId="1F864294" w:rsidR="0099084C" w:rsidRPr="00EA7F10" w:rsidRDefault="00553B6F" w:rsidP="0099084C">
            <w:pPr>
              <w:spacing w:before="120" w:after="120"/>
              <w:jc w:val="both"/>
              <w:rPr>
                <w:rFonts w:ascii="Times New Roman" w:hAnsi="Times New Roman" w:cs="Times New Roman"/>
                <w:sz w:val="20"/>
              </w:rPr>
            </w:pPr>
            <w:r>
              <w:rPr>
                <w:rFonts w:ascii="Times New Roman" w:hAnsi="Times New Roman"/>
                <w:color w:val="0070C0"/>
                <w:sz w:val="20"/>
              </w:rPr>
              <w:t>Uwaga uwzględniona</w:t>
            </w:r>
          </w:p>
        </w:tc>
      </w:tr>
      <w:tr w:rsidR="0099084C" w:rsidRPr="00FF4480" w14:paraId="602DC7AE" w14:textId="77777777" w:rsidTr="00E9565F">
        <w:trPr>
          <w:jc w:val="center"/>
        </w:trPr>
        <w:tc>
          <w:tcPr>
            <w:tcW w:w="554" w:type="dxa"/>
          </w:tcPr>
          <w:p w14:paraId="748A823B"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00B309D9" w14:textId="51A2BEEA" w:rsidR="0099084C" w:rsidRPr="002B488D" w:rsidRDefault="0099084C" w:rsidP="0099084C">
            <w:pPr>
              <w:spacing w:before="120" w:after="120"/>
              <w:rPr>
                <w:rFonts w:ascii="Times New Roman" w:hAnsi="Times New Roman" w:cs="Times New Roman"/>
                <w:sz w:val="20"/>
              </w:rPr>
            </w:pPr>
            <w:r w:rsidRPr="00943175">
              <w:rPr>
                <w:rFonts w:ascii="Times New Roman" w:hAnsi="Times New Roman" w:cs="Times New Roman"/>
                <w:sz w:val="20"/>
              </w:rPr>
              <w:t>Polski Związek Firm Deweloperskich</w:t>
            </w:r>
          </w:p>
        </w:tc>
        <w:tc>
          <w:tcPr>
            <w:tcW w:w="1905" w:type="dxa"/>
            <w:vAlign w:val="center"/>
          </w:tcPr>
          <w:p w14:paraId="6F8D7969" w14:textId="30C60DDA" w:rsidR="0099084C" w:rsidRDefault="0099084C" w:rsidP="0099084C">
            <w:pPr>
              <w:spacing w:before="120" w:after="120"/>
              <w:jc w:val="center"/>
              <w:rPr>
                <w:rFonts w:ascii="Times New Roman" w:hAnsi="Times New Roman" w:cs="Times New Roman"/>
                <w:sz w:val="20"/>
              </w:rPr>
            </w:pPr>
            <w:r w:rsidRPr="00943175">
              <w:rPr>
                <w:rFonts w:ascii="Times New Roman" w:hAnsi="Times New Roman" w:cs="Times New Roman"/>
                <w:sz w:val="20"/>
              </w:rPr>
              <w:t>Art. 1 pkt 7</w:t>
            </w:r>
            <w:r>
              <w:rPr>
                <w:rFonts w:ascii="Times New Roman" w:hAnsi="Times New Roman" w:cs="Times New Roman"/>
                <w:sz w:val="20"/>
              </w:rPr>
              <w:t>-9</w:t>
            </w:r>
          </w:p>
        </w:tc>
        <w:tc>
          <w:tcPr>
            <w:tcW w:w="5670" w:type="dxa"/>
            <w:vAlign w:val="center"/>
          </w:tcPr>
          <w:p w14:paraId="67FE7773" w14:textId="3F5A740D" w:rsidR="0099084C" w:rsidRPr="00943175"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W odniesieniu do przepisów dotyczących sankcji przewidzianych w</w:t>
            </w:r>
            <w:r>
              <w:rPr>
                <w:rFonts w:ascii="Times New Roman" w:hAnsi="Times New Roman" w:cs="Times New Roman"/>
                <w:sz w:val="20"/>
              </w:rPr>
              <w:t> </w:t>
            </w:r>
            <w:r w:rsidRPr="00943175">
              <w:rPr>
                <w:rFonts w:ascii="Times New Roman" w:hAnsi="Times New Roman" w:cs="Times New Roman"/>
                <w:sz w:val="20"/>
              </w:rPr>
              <w:t>art. 60a–60c projektu ustawy, należy zwrócić uwagę na brak zachowania zasady proporcjonalności między rodzajem przewinienia a surowością kary. Przewidziane kary, w tym kara pozbawienia wolności do lat 2 za błędy w przekazywaniu danych do Portalu DOM, wydają się być zbyt surowe w kontekście celów i</w:t>
            </w:r>
            <w:r>
              <w:rPr>
                <w:rFonts w:ascii="Times New Roman" w:hAnsi="Times New Roman" w:cs="Times New Roman"/>
                <w:sz w:val="20"/>
              </w:rPr>
              <w:t> </w:t>
            </w:r>
            <w:r w:rsidRPr="00943175">
              <w:rPr>
                <w:rFonts w:ascii="Times New Roman" w:hAnsi="Times New Roman" w:cs="Times New Roman"/>
                <w:sz w:val="20"/>
              </w:rPr>
              <w:t>charakteru tego portalu, który ma pełnić głównie funkcje informacyjne i statystyczne.</w:t>
            </w:r>
          </w:p>
          <w:p w14:paraId="28395D95" w14:textId="77777777" w:rsidR="0099084C" w:rsidRPr="00943175"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Proponowana uwaga:</w:t>
            </w:r>
          </w:p>
          <w:p w14:paraId="3BC7D8B3" w14:textId="3203A68A" w:rsidR="0099084C" w:rsidRPr="00943175"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Przepisy art. 60a ust. 1, które przewidują karę pozbawienia wolności za przekazywanie niezgodnych ze stanem faktycznym danych do Portalu DOM, nie są proporcjonalne do charakteru i celu tego portalu. Portal DOM ma za zadanie gromadzić dane dotyczące cen nieruchomości w celach informacyjnych, ułatwiając obywatelom dostęp do informacji o rynku nieruchomości. Błędy w</w:t>
            </w:r>
            <w:r>
              <w:rPr>
                <w:rFonts w:ascii="Times New Roman" w:hAnsi="Times New Roman" w:cs="Times New Roman"/>
                <w:sz w:val="20"/>
              </w:rPr>
              <w:t> </w:t>
            </w:r>
            <w:r w:rsidRPr="00943175">
              <w:rPr>
                <w:rFonts w:ascii="Times New Roman" w:hAnsi="Times New Roman" w:cs="Times New Roman"/>
                <w:sz w:val="20"/>
              </w:rPr>
              <w:t>przekazywaniu danych, o ile nie są one wynikiem świadomego fałszowania informacji, nie powinny być traktowane tak surowo, jak przewidują to obecne przepisy.</w:t>
            </w:r>
          </w:p>
          <w:p w14:paraId="7CD10E03" w14:textId="3F545475" w:rsidR="0099084C" w:rsidRPr="00943175"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Kara pozbawienia wolności jest sankcją ostateczną, stosowaną w</w:t>
            </w:r>
            <w:r>
              <w:rPr>
                <w:rFonts w:ascii="Times New Roman" w:hAnsi="Times New Roman" w:cs="Times New Roman"/>
                <w:sz w:val="20"/>
              </w:rPr>
              <w:t> </w:t>
            </w:r>
            <w:r w:rsidRPr="00943175">
              <w:rPr>
                <w:rFonts w:ascii="Times New Roman" w:hAnsi="Times New Roman" w:cs="Times New Roman"/>
                <w:sz w:val="20"/>
              </w:rPr>
              <w:t xml:space="preserve">sytuacjach poważnych naruszeń, które zagrażają porządkowi publicznemu lub bezpieczeństwu. W przypadku przekazywania błędnych danych do Portalu DOM, który ma na celu informowanie o cenach transakcyjnych i służy głównie celom statystycznym, </w:t>
            </w:r>
            <w:r w:rsidRPr="00943175">
              <w:rPr>
                <w:rFonts w:ascii="Times New Roman" w:hAnsi="Times New Roman" w:cs="Times New Roman"/>
                <w:sz w:val="20"/>
              </w:rPr>
              <w:lastRenderedPageBreak/>
              <w:t>wprowadzenie kar pozbawienia wolności wydaje się być zbyt restrykcyjnym środkiem.</w:t>
            </w:r>
          </w:p>
          <w:p w14:paraId="7B1371C3" w14:textId="77777777" w:rsidR="0099084C" w:rsidRPr="00943175"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Proponowane zmiany:</w:t>
            </w:r>
          </w:p>
          <w:p w14:paraId="21779819" w14:textId="0821B60B" w:rsidR="0099084C" w:rsidRPr="002B488D" w:rsidRDefault="0099084C" w:rsidP="0099084C">
            <w:pPr>
              <w:spacing w:before="120" w:after="120"/>
              <w:jc w:val="both"/>
              <w:rPr>
                <w:rFonts w:ascii="Times New Roman" w:hAnsi="Times New Roman" w:cs="Times New Roman"/>
                <w:sz w:val="20"/>
              </w:rPr>
            </w:pPr>
            <w:r w:rsidRPr="00943175">
              <w:rPr>
                <w:rFonts w:ascii="Times New Roman" w:hAnsi="Times New Roman" w:cs="Times New Roman"/>
                <w:sz w:val="20"/>
              </w:rPr>
              <w:t>Wprowadzenie gradacji sankcji, która uwzględni różne stopnie przewinienia, byłoby bardziej odpowiednie. W przypadku mniejszych błędów, które mogą wynikać np. z niezamierzonych pomyłek, odpowiednią sankcją powinna być jedynie grzywna. Kara pozbawienia wolności powinna być zarezerwowana dla przypadków świadomego fałszowania danych, które miałyby istotny wpływ na działanie rynku nieruchomości lub prowadziły do poważnych szkód.</w:t>
            </w:r>
          </w:p>
        </w:tc>
        <w:tc>
          <w:tcPr>
            <w:tcW w:w="4160" w:type="dxa"/>
          </w:tcPr>
          <w:p w14:paraId="65A8B7B2" w14:textId="6D78E1A9" w:rsidR="0099084C" w:rsidRPr="00553B6F" w:rsidRDefault="00553B6F" w:rsidP="0099084C">
            <w:pPr>
              <w:spacing w:before="120" w:after="120"/>
              <w:jc w:val="both"/>
              <w:rPr>
                <w:rFonts w:ascii="Times New Roman" w:hAnsi="Times New Roman" w:cs="Times New Roman"/>
                <w:b/>
                <w:bCs/>
                <w:sz w:val="20"/>
              </w:rPr>
            </w:pPr>
            <w:r w:rsidRPr="00553B6F">
              <w:rPr>
                <w:rFonts w:ascii="Times New Roman" w:hAnsi="Times New Roman" w:cs="Times New Roman"/>
                <w:b/>
                <w:bCs/>
                <w:sz w:val="20"/>
              </w:rPr>
              <w:lastRenderedPageBreak/>
              <w:t>Uwaga nieuwzględniona</w:t>
            </w:r>
          </w:p>
          <w:p w14:paraId="41C9EE53" w14:textId="6FDEF08B" w:rsidR="00553B6F" w:rsidRDefault="00042723" w:rsidP="0099084C">
            <w:pPr>
              <w:spacing w:before="120" w:after="120"/>
              <w:jc w:val="both"/>
              <w:rPr>
                <w:rFonts w:ascii="Times New Roman" w:hAnsi="Times New Roman" w:cs="Times New Roman"/>
                <w:sz w:val="20"/>
              </w:rPr>
            </w:pPr>
            <w:r w:rsidRPr="00042723">
              <w:rPr>
                <w:rFonts w:ascii="Times New Roman" w:hAnsi="Times New Roman" w:cs="Times New Roman"/>
                <w:sz w:val="20"/>
              </w:rPr>
              <w:t>Przyjęte w projekcie sankcje nie wykraczają poza system regulacji karnych dotyczących świadczenia niezgodnie ze stanem faktycznym. Wpisują się też w system sankcji przyjętych w</w:t>
            </w:r>
            <w:r>
              <w:rPr>
                <w:rFonts w:ascii="Times New Roman" w:hAnsi="Times New Roman" w:cs="Times New Roman"/>
                <w:sz w:val="20"/>
              </w:rPr>
              <w:t> </w:t>
            </w:r>
            <w:r w:rsidRPr="00042723">
              <w:rPr>
                <w:rFonts w:ascii="Times New Roman" w:hAnsi="Times New Roman" w:cs="Times New Roman"/>
                <w:sz w:val="20"/>
              </w:rPr>
              <w:t>tzw. ustawie deweloperskiej. Taką samą karą zagrożony jest czyn polegający np. na podaniu nieprawdziwych informacji w prospekcie informacyjnym.</w:t>
            </w:r>
          </w:p>
          <w:p w14:paraId="0412CC21" w14:textId="77412E7F" w:rsidR="00553B6F" w:rsidRPr="00EA7F10" w:rsidRDefault="00553B6F" w:rsidP="0099084C">
            <w:pPr>
              <w:spacing w:before="120" w:after="120"/>
              <w:jc w:val="both"/>
              <w:rPr>
                <w:rFonts w:ascii="Times New Roman" w:hAnsi="Times New Roman" w:cs="Times New Roman"/>
                <w:sz w:val="20"/>
              </w:rPr>
            </w:pPr>
            <w:r>
              <w:rPr>
                <w:rFonts w:ascii="Times New Roman" w:hAnsi="Times New Roman" w:cs="Times New Roman"/>
                <w:sz w:val="20"/>
              </w:rPr>
              <w:t xml:space="preserve">Niezależnie od powyższego, </w:t>
            </w:r>
            <w:r w:rsidRPr="00553B6F">
              <w:rPr>
                <w:rFonts w:ascii="Times New Roman" w:hAnsi="Times New Roman" w:cs="Times New Roman"/>
                <w:sz w:val="20"/>
              </w:rPr>
              <w:t>to sąd ustala relację między czynem a potrzebą zadośćuczynienia</w:t>
            </w:r>
            <w:r>
              <w:rPr>
                <w:rFonts w:ascii="Times New Roman" w:hAnsi="Times New Roman" w:cs="Times New Roman"/>
                <w:sz w:val="20"/>
              </w:rPr>
              <w:t>,</w:t>
            </w:r>
            <w:r w:rsidRPr="00553B6F">
              <w:rPr>
                <w:rFonts w:ascii="Times New Roman" w:hAnsi="Times New Roman" w:cs="Times New Roman"/>
                <w:sz w:val="20"/>
              </w:rPr>
              <w:t xml:space="preserve"> </w:t>
            </w:r>
            <w:r>
              <w:rPr>
                <w:rFonts w:ascii="Times New Roman" w:hAnsi="Times New Roman" w:cs="Times New Roman"/>
                <w:sz w:val="20"/>
              </w:rPr>
              <w:t>kierując</w:t>
            </w:r>
            <w:r w:rsidRPr="00553B6F">
              <w:rPr>
                <w:rFonts w:ascii="Times New Roman" w:hAnsi="Times New Roman" w:cs="Times New Roman"/>
                <w:sz w:val="20"/>
              </w:rPr>
              <w:t xml:space="preserve"> się</w:t>
            </w:r>
            <w:r w:rsidR="00042723">
              <w:rPr>
                <w:rFonts w:ascii="Times New Roman" w:hAnsi="Times New Roman" w:cs="Times New Roman"/>
                <w:sz w:val="20"/>
              </w:rPr>
              <w:t xml:space="preserve"> w</w:t>
            </w:r>
            <w:r w:rsidRPr="00553B6F">
              <w:rPr>
                <w:rFonts w:ascii="Times New Roman" w:hAnsi="Times New Roman" w:cs="Times New Roman"/>
                <w:sz w:val="20"/>
              </w:rPr>
              <w:t xml:space="preserve"> </w:t>
            </w:r>
            <w:r>
              <w:rPr>
                <w:rFonts w:ascii="Times New Roman" w:hAnsi="Times New Roman" w:cs="Times New Roman"/>
                <w:sz w:val="20"/>
              </w:rPr>
              <w:t>tej ocenie</w:t>
            </w:r>
            <w:r w:rsidRPr="00553B6F">
              <w:rPr>
                <w:rFonts w:ascii="Times New Roman" w:hAnsi="Times New Roman" w:cs="Times New Roman"/>
                <w:sz w:val="20"/>
              </w:rPr>
              <w:t xml:space="preserve"> racjonalnymi przesłankami.</w:t>
            </w:r>
          </w:p>
        </w:tc>
      </w:tr>
      <w:tr w:rsidR="0099084C" w:rsidRPr="00FF4480" w14:paraId="5FACF9AD" w14:textId="77777777" w:rsidTr="00E9565F">
        <w:trPr>
          <w:jc w:val="center"/>
        </w:trPr>
        <w:tc>
          <w:tcPr>
            <w:tcW w:w="554" w:type="dxa"/>
          </w:tcPr>
          <w:p w14:paraId="48AEDBB8"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7300A24" w14:textId="06BABB9B" w:rsidR="0099084C" w:rsidRPr="002B488D"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0902014A" w14:textId="07C00764"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3</w:t>
            </w:r>
          </w:p>
        </w:tc>
        <w:tc>
          <w:tcPr>
            <w:tcW w:w="5670" w:type="dxa"/>
            <w:vAlign w:val="center"/>
          </w:tcPr>
          <w:p w14:paraId="35A5B404" w14:textId="5F04AB7A" w:rsidR="0099084C" w:rsidRDefault="0099084C" w:rsidP="0099084C">
            <w:pPr>
              <w:spacing w:before="120" w:after="120"/>
              <w:jc w:val="both"/>
              <w:rPr>
                <w:rFonts w:ascii="Times New Roman" w:hAnsi="Times New Roman" w:cs="Times New Roman"/>
                <w:sz w:val="20"/>
              </w:rPr>
            </w:pPr>
            <w:r w:rsidRPr="00247963">
              <w:rPr>
                <w:rFonts w:ascii="Times New Roman" w:hAnsi="Times New Roman" w:cs="Times New Roman"/>
                <w:sz w:val="20"/>
              </w:rPr>
              <w:t>Projekt wprowadza zmianę ustawy z dnia 14 lutego 1991</w:t>
            </w:r>
            <w:r>
              <w:rPr>
                <w:rFonts w:ascii="Times New Roman" w:hAnsi="Times New Roman" w:cs="Times New Roman"/>
                <w:sz w:val="20"/>
              </w:rPr>
              <w:t xml:space="preserve"> </w:t>
            </w:r>
            <w:r w:rsidRPr="00247963">
              <w:rPr>
                <w:rFonts w:ascii="Times New Roman" w:hAnsi="Times New Roman" w:cs="Times New Roman"/>
                <w:sz w:val="20"/>
              </w:rPr>
              <w:t>r. Prawo o notariacie (Dz.U.</w:t>
            </w:r>
            <w:r>
              <w:rPr>
                <w:rFonts w:ascii="Times New Roman" w:hAnsi="Times New Roman" w:cs="Times New Roman"/>
                <w:sz w:val="20"/>
              </w:rPr>
              <w:t xml:space="preserve"> </w:t>
            </w:r>
            <w:r w:rsidRPr="00247963">
              <w:rPr>
                <w:rFonts w:ascii="Times New Roman" w:hAnsi="Times New Roman" w:cs="Times New Roman"/>
                <w:sz w:val="20"/>
              </w:rPr>
              <w:t>z 2024</w:t>
            </w:r>
            <w:r>
              <w:rPr>
                <w:rFonts w:ascii="Times New Roman" w:hAnsi="Times New Roman" w:cs="Times New Roman"/>
                <w:sz w:val="20"/>
              </w:rPr>
              <w:t xml:space="preserve"> </w:t>
            </w:r>
            <w:r w:rsidRPr="00247963">
              <w:rPr>
                <w:rFonts w:ascii="Times New Roman" w:hAnsi="Times New Roman" w:cs="Times New Roman"/>
                <w:sz w:val="20"/>
              </w:rPr>
              <w:t>r. poz.1001) poprzez zmianę art.41a §</w:t>
            </w:r>
            <w:r w:rsidR="002F6D4F">
              <w:rPr>
                <w:rFonts w:ascii="Times New Roman" w:hAnsi="Times New Roman" w:cs="Times New Roman"/>
                <w:sz w:val="20"/>
              </w:rPr>
              <w:t xml:space="preserve"> </w:t>
            </w:r>
            <w:r w:rsidRPr="00247963">
              <w:rPr>
                <w:rFonts w:ascii="Times New Roman" w:hAnsi="Times New Roman" w:cs="Times New Roman"/>
                <w:sz w:val="20"/>
              </w:rPr>
              <w:t>1 oraz dodanie w art.</w:t>
            </w:r>
            <w:r w:rsidR="002F6D4F">
              <w:rPr>
                <w:rFonts w:ascii="Times New Roman" w:hAnsi="Times New Roman" w:cs="Times New Roman"/>
                <w:sz w:val="20"/>
              </w:rPr>
              <w:t xml:space="preserve"> </w:t>
            </w:r>
            <w:r w:rsidRPr="00247963">
              <w:rPr>
                <w:rFonts w:ascii="Times New Roman" w:hAnsi="Times New Roman" w:cs="Times New Roman"/>
                <w:sz w:val="20"/>
              </w:rPr>
              <w:t>41a po §1 nowego §1a. Zmiana ta nakłada na Krajową Radę Notarialną obowiązek prowadzenia listy notariuszy oraz zastępców notarialnych i notariuszy emerytowanych wyznaczonych do zastępstwa notariusza z zakresem danych w bardzo rozbudowanym zakresie.</w:t>
            </w:r>
            <w:r>
              <w:rPr>
                <w:rFonts w:ascii="Times New Roman" w:hAnsi="Times New Roman" w:cs="Times New Roman"/>
                <w:sz w:val="20"/>
              </w:rPr>
              <w:t xml:space="preserve"> </w:t>
            </w:r>
          </w:p>
          <w:p w14:paraId="2BB85033" w14:textId="77777777" w:rsidR="0099084C" w:rsidRDefault="0099084C" w:rsidP="0099084C">
            <w:pPr>
              <w:spacing w:before="120" w:after="120"/>
              <w:jc w:val="both"/>
              <w:rPr>
                <w:rFonts w:ascii="Times New Roman" w:hAnsi="Times New Roman" w:cs="Times New Roman"/>
                <w:sz w:val="20"/>
              </w:rPr>
            </w:pPr>
            <w:r w:rsidRPr="00247963">
              <w:rPr>
                <w:rFonts w:ascii="Times New Roman" w:hAnsi="Times New Roman" w:cs="Times New Roman"/>
                <w:sz w:val="20"/>
              </w:rPr>
              <w:t>Zdaniem ZG SNRP, mając na uwadze fakt, że zasady określone przez obecne przepisy, które nakładają na KRN obowiązek prowadzenia listy notariuszy i zastępców notarialnych z zakresem danych wskazanych w art.41a prawa o notariacie, są w zupełności wystarczające, to proponowana zmiana jest bezzasadna, nie zawiera informacji o źródle finansowania tego obowiązku, a argumenty podane przez Projektodawcę są nieprzekonujące. Dane zawarte w tym spisie powinny mieć wyłącznie charakter informacyjny.</w:t>
            </w:r>
            <w:r>
              <w:rPr>
                <w:rFonts w:ascii="Times New Roman" w:hAnsi="Times New Roman" w:cs="Times New Roman"/>
                <w:sz w:val="20"/>
              </w:rPr>
              <w:t xml:space="preserve"> </w:t>
            </w:r>
          </w:p>
          <w:p w14:paraId="57A5FF7A" w14:textId="77777777" w:rsidR="0099084C" w:rsidRDefault="0099084C" w:rsidP="0099084C">
            <w:pPr>
              <w:spacing w:before="120" w:after="120"/>
              <w:jc w:val="both"/>
              <w:rPr>
                <w:rFonts w:ascii="Times New Roman" w:hAnsi="Times New Roman" w:cs="Times New Roman"/>
                <w:sz w:val="20"/>
              </w:rPr>
            </w:pPr>
            <w:r w:rsidRPr="00247963">
              <w:rPr>
                <w:rFonts w:ascii="Times New Roman" w:hAnsi="Times New Roman" w:cs="Times New Roman"/>
                <w:sz w:val="20"/>
              </w:rPr>
              <w:t>To, co proponuje Projektodawca w Projekcie bezpośrednio łączy się z nadzorem nad notariuszami i zastępcami notarialnymi w związku z</w:t>
            </w:r>
            <w:r>
              <w:rPr>
                <w:rFonts w:ascii="Times New Roman" w:hAnsi="Times New Roman" w:cs="Times New Roman"/>
                <w:sz w:val="20"/>
              </w:rPr>
              <w:t xml:space="preserve"> </w:t>
            </w:r>
            <w:r w:rsidRPr="00247963">
              <w:rPr>
                <w:rFonts w:ascii="Times New Roman" w:hAnsi="Times New Roman" w:cs="Times New Roman"/>
                <w:sz w:val="20"/>
              </w:rPr>
              <w:t>dokonywanymi przez nich czynnościami notarialnymi (art.26 prawa o notariacie). Takiego nadzorczego uprawnienia nie posiada Krajowa Rada Notarialna, dlatego i zakres prezentowanych i udostępnianych przez nią informacji powinien być ściśle reglamentowany i ograniczony wyłącznie do treści informacyjnych.</w:t>
            </w:r>
          </w:p>
          <w:p w14:paraId="11CB4C0D" w14:textId="360DA174" w:rsidR="0099084C"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w:t>
            </w:r>
            <w:r w:rsidRPr="00B1299D">
              <w:rPr>
                <w:rFonts w:ascii="Times New Roman" w:hAnsi="Times New Roman" w:cs="Times New Roman"/>
                <w:sz w:val="20"/>
              </w:rPr>
              <w:t xml:space="preserve"> spis ten ma zawierać bardzo rozbudowane dane. Obecny przepis odnosi się wyłącznie do charakteru informacyjnego tego spisu i nie ma żadnego związku z zastępowaniem notariusza. Jest to </w:t>
            </w:r>
            <w:r w:rsidRPr="00B1299D">
              <w:rPr>
                <w:rFonts w:ascii="Times New Roman" w:hAnsi="Times New Roman" w:cs="Times New Roman"/>
                <w:sz w:val="20"/>
              </w:rPr>
              <w:lastRenderedPageBreak/>
              <w:t>oczywiście konsekwencją tego, że nadzór nad notariuszami (a zastępowanie notariusza ma z tym nierozerwalny związek) jest sprawowany przez Ministra Sprawiedliwości, Prezesa Sądu Apelacyjnego i Radę Izby Notarialnej. Krajowa Rada Notarialna w swoich kompetencjach takiego nadzoru nie ma</w:t>
            </w:r>
            <w:r w:rsidR="00042723">
              <w:rPr>
                <w:rFonts w:ascii="Times New Roman" w:hAnsi="Times New Roman" w:cs="Times New Roman"/>
                <w:sz w:val="20"/>
              </w:rPr>
              <w:t xml:space="preserve"> </w:t>
            </w:r>
            <w:r>
              <w:rPr>
                <w:rFonts w:ascii="Times New Roman" w:hAnsi="Times New Roman" w:cs="Times New Roman"/>
                <w:sz w:val="20"/>
              </w:rPr>
              <w:t xml:space="preserve">- </w:t>
            </w:r>
            <w:r w:rsidRPr="00B1299D">
              <w:rPr>
                <w:rFonts w:ascii="Times New Roman" w:hAnsi="Times New Roman" w:cs="Times New Roman"/>
                <w:i/>
                <w:iCs/>
                <w:sz w:val="20"/>
              </w:rPr>
              <w:t xml:space="preserve">dodatkowy fragment zaczerpnięty z uchwały – przyp. </w:t>
            </w:r>
            <w:proofErr w:type="spellStart"/>
            <w:r w:rsidRPr="00B1299D">
              <w:rPr>
                <w:rFonts w:ascii="Times New Roman" w:hAnsi="Times New Roman" w:cs="Times New Roman"/>
                <w:i/>
                <w:iCs/>
                <w:sz w:val="20"/>
              </w:rPr>
              <w:t>MRiT</w:t>
            </w:r>
            <w:proofErr w:type="spellEnd"/>
            <w:r w:rsidRPr="00B1299D">
              <w:rPr>
                <w:rFonts w:ascii="Times New Roman" w:hAnsi="Times New Roman" w:cs="Times New Roman"/>
                <w:sz w:val="20"/>
              </w:rPr>
              <w:t>]</w:t>
            </w:r>
          </w:p>
          <w:p w14:paraId="5EA5FD21" w14:textId="77777777" w:rsidR="0099084C" w:rsidRDefault="0099084C" w:rsidP="0099084C">
            <w:pPr>
              <w:spacing w:before="120" w:after="120"/>
              <w:jc w:val="both"/>
              <w:rPr>
                <w:rFonts w:ascii="Times New Roman" w:hAnsi="Times New Roman" w:cs="Times New Roman"/>
                <w:sz w:val="20"/>
              </w:rPr>
            </w:pPr>
            <w:r w:rsidRPr="00247963">
              <w:rPr>
                <w:rFonts w:ascii="Times New Roman" w:hAnsi="Times New Roman" w:cs="Times New Roman"/>
                <w:sz w:val="20"/>
              </w:rPr>
              <w:t>Zupełnie na marginesie należy dodać, że Projektodawca zupełnie zapomniał o aplikantach notarialnych, którzy w sytuacji przewidzianej treścią art.22a prawa o notariacie, również mogą dokonywać czynności notarialnych w zawężonym zakresie, a informacje o tym fakcie właściwe rady izb notarialnych skrupulatnie gromadzą.</w:t>
            </w:r>
            <w:r>
              <w:rPr>
                <w:rFonts w:ascii="Times New Roman" w:hAnsi="Times New Roman" w:cs="Times New Roman"/>
                <w:sz w:val="20"/>
              </w:rPr>
              <w:t xml:space="preserve"> </w:t>
            </w:r>
          </w:p>
          <w:p w14:paraId="2CF83140" w14:textId="3F313AB5" w:rsidR="0099084C" w:rsidRPr="002B488D" w:rsidRDefault="0099084C" w:rsidP="0099084C">
            <w:pPr>
              <w:spacing w:before="120" w:after="120"/>
              <w:jc w:val="both"/>
              <w:rPr>
                <w:rFonts w:ascii="Times New Roman" w:hAnsi="Times New Roman" w:cs="Times New Roman"/>
                <w:sz w:val="20"/>
              </w:rPr>
            </w:pPr>
            <w:r w:rsidRPr="00247963">
              <w:rPr>
                <w:rFonts w:ascii="Times New Roman" w:hAnsi="Times New Roman" w:cs="Times New Roman"/>
                <w:sz w:val="20"/>
              </w:rPr>
              <w:t>Powyższe świadczy o pobieżnej analizie zagadnienia.</w:t>
            </w:r>
          </w:p>
        </w:tc>
        <w:tc>
          <w:tcPr>
            <w:tcW w:w="4160" w:type="dxa"/>
          </w:tcPr>
          <w:p w14:paraId="36D08983" w14:textId="281DBED5" w:rsidR="002F6D4F" w:rsidRPr="002F6D4F" w:rsidRDefault="002F6D4F" w:rsidP="0099084C">
            <w:pPr>
              <w:spacing w:before="120" w:after="120"/>
              <w:jc w:val="both"/>
              <w:rPr>
                <w:rFonts w:ascii="Times New Roman" w:hAnsi="Times New Roman"/>
                <w:color w:val="0070C0"/>
                <w:sz w:val="20"/>
              </w:rPr>
            </w:pPr>
            <w:r w:rsidRPr="002F6D4F">
              <w:rPr>
                <w:rFonts w:ascii="Times New Roman" w:hAnsi="Times New Roman"/>
                <w:color w:val="0070C0"/>
                <w:sz w:val="20"/>
              </w:rPr>
              <w:lastRenderedPageBreak/>
              <w:t>Uwaga uwzględniona w niezbędnym zakresie</w:t>
            </w:r>
          </w:p>
          <w:p w14:paraId="7D7FB3F7" w14:textId="4E12A6BB" w:rsidR="002F6D4F" w:rsidRDefault="002F6D4F" w:rsidP="0099084C">
            <w:pPr>
              <w:spacing w:before="120" w:after="120"/>
              <w:jc w:val="both"/>
              <w:rPr>
                <w:rFonts w:ascii="Times New Roman" w:hAnsi="Times New Roman" w:cs="Times New Roman"/>
                <w:sz w:val="20"/>
              </w:rPr>
            </w:pPr>
            <w:r w:rsidRPr="002F6D4F">
              <w:rPr>
                <w:rFonts w:ascii="Times New Roman" w:hAnsi="Times New Roman" w:cs="Times New Roman"/>
                <w:sz w:val="20"/>
              </w:rPr>
              <w:t>Uwzględniając stanowisko MF i MS</w:t>
            </w:r>
            <w:r w:rsidR="00FC1365">
              <w:rPr>
                <w:rFonts w:ascii="Times New Roman" w:hAnsi="Times New Roman" w:cs="Times New Roman"/>
                <w:sz w:val="20"/>
              </w:rPr>
              <w:t xml:space="preserve"> względem niniejszej uwagi</w:t>
            </w:r>
            <w:r w:rsidRPr="002F6D4F">
              <w:rPr>
                <w:rFonts w:ascii="Times New Roman" w:hAnsi="Times New Roman" w:cs="Times New Roman"/>
                <w:sz w:val="20"/>
              </w:rPr>
              <w:t xml:space="preserve">, </w:t>
            </w:r>
            <w:r w:rsidR="00A03164">
              <w:rPr>
                <w:rFonts w:ascii="Times New Roman" w:hAnsi="Times New Roman" w:cs="Times New Roman"/>
                <w:sz w:val="20"/>
              </w:rPr>
              <w:t xml:space="preserve">zrezygnowano ze zmiany </w:t>
            </w:r>
            <w:r w:rsidR="00A03164" w:rsidRPr="00A03164">
              <w:rPr>
                <w:rFonts w:ascii="Times New Roman" w:hAnsi="Times New Roman" w:cs="Times New Roman"/>
                <w:sz w:val="20"/>
              </w:rPr>
              <w:t>polegającej na dodaniu w art. 41a ustawy – Prawo o notariacie nowego przepisu § 1a.</w:t>
            </w:r>
            <w:r w:rsidR="00A03164">
              <w:rPr>
                <w:rFonts w:ascii="Times New Roman" w:hAnsi="Times New Roman" w:cs="Times New Roman"/>
                <w:sz w:val="20"/>
              </w:rPr>
              <w:t xml:space="preserve"> W zgodnej opinii obu resortów </w:t>
            </w:r>
            <w:r w:rsidR="00A03164" w:rsidRPr="00A03164">
              <w:rPr>
                <w:rFonts w:ascii="Times New Roman" w:hAnsi="Times New Roman" w:cs="Times New Roman"/>
                <w:sz w:val="20"/>
              </w:rPr>
              <w:t>obowiązek upubliczniania wykazu zarejestrowanych kancelarii notarialnych (poprzez ogłoszenie w formie obwieszczenia w</w:t>
            </w:r>
            <w:r w:rsidR="00A03164">
              <w:rPr>
                <w:rFonts w:ascii="Times New Roman" w:hAnsi="Times New Roman" w:cs="Times New Roman"/>
                <w:sz w:val="20"/>
              </w:rPr>
              <w:t> </w:t>
            </w:r>
            <w:r w:rsidR="00A03164" w:rsidRPr="00A03164">
              <w:rPr>
                <w:rFonts w:ascii="Times New Roman" w:hAnsi="Times New Roman" w:cs="Times New Roman"/>
                <w:sz w:val="20"/>
              </w:rPr>
              <w:t>Dzienniku Urzędowym RP „Monitor Polski”) w pełni zabezpiecza powszechny dostęp do</w:t>
            </w:r>
            <w:r w:rsidR="00FC1365">
              <w:rPr>
                <w:rFonts w:ascii="Times New Roman" w:hAnsi="Times New Roman" w:cs="Times New Roman"/>
                <w:sz w:val="20"/>
              </w:rPr>
              <w:t> </w:t>
            </w:r>
            <w:r w:rsidR="00A03164" w:rsidRPr="00A03164">
              <w:rPr>
                <w:rFonts w:ascii="Times New Roman" w:hAnsi="Times New Roman" w:cs="Times New Roman"/>
                <w:sz w:val="20"/>
              </w:rPr>
              <w:t>informacji o miejscu oraz osobach dokonujących czynności notarialnych.</w:t>
            </w:r>
          </w:p>
          <w:p w14:paraId="2295AEB2" w14:textId="116909EB" w:rsidR="00520F8D" w:rsidRDefault="00A1145F" w:rsidP="00A1145F">
            <w:pPr>
              <w:spacing w:before="120" w:after="120"/>
              <w:jc w:val="both"/>
              <w:rPr>
                <w:rFonts w:ascii="Times New Roman" w:hAnsi="Times New Roman" w:cs="Times New Roman"/>
                <w:sz w:val="20"/>
              </w:rPr>
            </w:pPr>
            <w:r w:rsidRPr="00A1145F">
              <w:rPr>
                <w:rFonts w:ascii="Times New Roman" w:hAnsi="Times New Roman" w:cs="Times New Roman"/>
                <w:sz w:val="20"/>
              </w:rPr>
              <w:t>W uzasadnieniu omówion</w:t>
            </w:r>
            <w:r>
              <w:rPr>
                <w:rFonts w:ascii="Times New Roman" w:hAnsi="Times New Roman" w:cs="Times New Roman"/>
                <w:sz w:val="20"/>
              </w:rPr>
              <w:t>e</w:t>
            </w:r>
            <w:r w:rsidRPr="00A1145F">
              <w:rPr>
                <w:rFonts w:ascii="Times New Roman" w:hAnsi="Times New Roman" w:cs="Times New Roman"/>
                <w:sz w:val="20"/>
              </w:rPr>
              <w:t xml:space="preserve"> zostały cele proponowanej modyfikacji. Celem zmiany jest prawidłowa i szybka identyfikacja osób oraz ich uprawnień wypełniających obowiązek informacyjny, o którym mowa w art. 84a ustawy z dnia 29 sierpnia 1997 r. – Ordynacja podatkowa. Szef KAS gromadzi w systemie Centralny Rejestr Czynności Majątkowych dane o czynnościach majątkowych, które mogą powodować powstanie zobowiązania podatkowego na podstawie informacji i aktów notarialnych przesyłanych przez notariuszy i ich zastępców. Otrzymuje on wprawdzie listę notariuszy i zastępców notarialnych drogą elektroniczną, zawiera ona </w:t>
            </w:r>
            <w:r w:rsidRPr="00A1145F">
              <w:rPr>
                <w:rFonts w:ascii="Times New Roman" w:hAnsi="Times New Roman" w:cs="Times New Roman"/>
                <w:sz w:val="20"/>
              </w:rPr>
              <w:lastRenderedPageBreak/>
              <w:t>jednak tylko elementy wskazane wprost w</w:t>
            </w:r>
            <w:r w:rsidR="008201AD">
              <w:rPr>
                <w:rFonts w:ascii="Times New Roman" w:hAnsi="Times New Roman" w:cs="Times New Roman"/>
                <w:sz w:val="20"/>
              </w:rPr>
              <w:t> </w:t>
            </w:r>
            <w:r w:rsidRPr="00A1145F">
              <w:rPr>
                <w:rFonts w:ascii="Times New Roman" w:hAnsi="Times New Roman" w:cs="Times New Roman"/>
                <w:sz w:val="20"/>
              </w:rPr>
              <w:t>aktualnym brzmieniu przepisu art. 41a § 1 w</w:t>
            </w:r>
            <w:r w:rsidR="008201AD">
              <w:rPr>
                <w:rFonts w:ascii="Times New Roman" w:hAnsi="Times New Roman" w:cs="Times New Roman"/>
                <w:sz w:val="20"/>
              </w:rPr>
              <w:t> </w:t>
            </w:r>
            <w:r w:rsidRPr="00A1145F">
              <w:rPr>
                <w:rFonts w:ascii="Times New Roman" w:hAnsi="Times New Roman" w:cs="Times New Roman"/>
                <w:sz w:val="20"/>
              </w:rPr>
              <w:t>związku z § 3a ustawy z dnia 14 lutego 1991 r. – Prawo o notariacie (m.in. imię i nazwisko notariusza albo zastępcy notarialnego). Determinuje to konieczność ich dalszej „manualnej” weryfikacji przed zaimportowaniem do prowadzonego przez Szefa KAS systemu. Taka sytuacja opóźnia udostępnianie aktów notarialnych w systemie. Brak możliwości identyfikacji osoby, która dokonała czynności notarialnych, powoduje niemożność powiązania tych danych bądź błędne pobieranie i</w:t>
            </w:r>
            <w:r w:rsidR="009445B2">
              <w:rPr>
                <w:rFonts w:ascii="Times New Roman" w:hAnsi="Times New Roman" w:cs="Times New Roman"/>
                <w:sz w:val="20"/>
              </w:rPr>
              <w:t> </w:t>
            </w:r>
            <w:r w:rsidRPr="00A1145F">
              <w:rPr>
                <w:rFonts w:ascii="Times New Roman" w:hAnsi="Times New Roman" w:cs="Times New Roman"/>
                <w:sz w:val="20"/>
              </w:rPr>
              <w:t>prezentowanie danych przekazywanych przez notariuszy.  Zaprojektowana zmiana sprowadza się zatem jedynie do automatycznego przekazywania danych, które dotychczas były wprowadzane fizycznie w celu identyfikacji osób uczestniczących w czynnościach majątkowych. Taki sposób przekazywania danych nie tylko usprawni proces, ale też ograniczy możliwość wprowadzania błędnych danych.</w:t>
            </w:r>
          </w:p>
          <w:p w14:paraId="0A3FBD89" w14:textId="081585AA" w:rsidR="009445B2" w:rsidRDefault="009445B2" w:rsidP="00A1145F">
            <w:pPr>
              <w:spacing w:before="120" w:after="120"/>
              <w:jc w:val="both"/>
              <w:rPr>
                <w:rFonts w:ascii="Times New Roman" w:hAnsi="Times New Roman" w:cs="Times New Roman"/>
                <w:sz w:val="20"/>
              </w:rPr>
            </w:pPr>
            <w:r>
              <w:rPr>
                <w:rFonts w:ascii="Times New Roman" w:hAnsi="Times New Roman" w:cs="Times New Roman"/>
                <w:sz w:val="20"/>
              </w:rPr>
              <w:t xml:space="preserve">Odnosząc się do uwagi dotyczącej aplikantów notarialnych, w ocenie projektodawcy </w:t>
            </w:r>
            <w:r w:rsidRPr="009445B2">
              <w:rPr>
                <w:rFonts w:ascii="Times New Roman" w:hAnsi="Times New Roman" w:cs="Times New Roman"/>
                <w:sz w:val="20"/>
              </w:rPr>
              <w:t>czynności objęte zastępstwem wyznaczonym w oparciu o</w:t>
            </w:r>
            <w:r>
              <w:rPr>
                <w:rFonts w:ascii="Times New Roman" w:hAnsi="Times New Roman" w:cs="Times New Roman"/>
                <w:sz w:val="20"/>
              </w:rPr>
              <w:t> </w:t>
            </w:r>
            <w:r w:rsidRPr="009445B2">
              <w:rPr>
                <w:rFonts w:ascii="Times New Roman" w:hAnsi="Times New Roman" w:cs="Times New Roman"/>
                <w:sz w:val="20"/>
              </w:rPr>
              <w:t>art.</w:t>
            </w:r>
            <w:r>
              <w:rPr>
                <w:rFonts w:ascii="Times New Roman" w:hAnsi="Times New Roman" w:cs="Times New Roman"/>
                <w:sz w:val="20"/>
              </w:rPr>
              <w:t> </w:t>
            </w:r>
            <w:r w:rsidRPr="009445B2">
              <w:rPr>
                <w:rFonts w:ascii="Times New Roman" w:hAnsi="Times New Roman" w:cs="Times New Roman"/>
                <w:sz w:val="20"/>
              </w:rPr>
              <w:t>2</w:t>
            </w:r>
            <w:r>
              <w:rPr>
                <w:rFonts w:ascii="Times New Roman" w:hAnsi="Times New Roman" w:cs="Times New Roman"/>
                <w:sz w:val="20"/>
              </w:rPr>
              <w:t>2a </w:t>
            </w:r>
            <w:r w:rsidRPr="009445B2">
              <w:rPr>
                <w:rFonts w:ascii="Times New Roman" w:hAnsi="Times New Roman" w:cs="Times New Roman"/>
                <w:sz w:val="20"/>
              </w:rPr>
              <w:t>ustawy – Prawo o</w:t>
            </w:r>
            <w:r>
              <w:rPr>
                <w:rFonts w:ascii="Times New Roman" w:hAnsi="Times New Roman" w:cs="Times New Roman"/>
                <w:sz w:val="20"/>
              </w:rPr>
              <w:t> </w:t>
            </w:r>
            <w:r w:rsidRPr="009445B2">
              <w:rPr>
                <w:rFonts w:ascii="Times New Roman" w:hAnsi="Times New Roman" w:cs="Times New Roman"/>
                <w:sz w:val="20"/>
              </w:rPr>
              <w:t>notariacie nie stanowią czynności, o których dokonaniu gromadzi informacje Szef KAS</w:t>
            </w:r>
            <w:r>
              <w:rPr>
                <w:rFonts w:ascii="Times New Roman" w:hAnsi="Times New Roman" w:cs="Times New Roman"/>
                <w:sz w:val="20"/>
              </w:rPr>
              <w:t>.</w:t>
            </w:r>
          </w:p>
          <w:p w14:paraId="48863506" w14:textId="68F5A503" w:rsidR="00C25E35" w:rsidRPr="00EA7F10" w:rsidRDefault="00C25E35" w:rsidP="00A1145F">
            <w:pPr>
              <w:spacing w:before="120" w:after="120"/>
              <w:jc w:val="both"/>
              <w:rPr>
                <w:rFonts w:ascii="Times New Roman" w:hAnsi="Times New Roman" w:cs="Times New Roman"/>
                <w:sz w:val="20"/>
              </w:rPr>
            </w:pPr>
            <w:r>
              <w:rPr>
                <w:rFonts w:ascii="Times New Roman" w:hAnsi="Times New Roman" w:cs="Times New Roman"/>
                <w:sz w:val="20"/>
              </w:rPr>
              <w:t>Co do kwestii finansowania, sprawa ta została omówiona w kontekście uwag dotyczących wynagradzania notariuszy.</w:t>
            </w:r>
          </w:p>
        </w:tc>
      </w:tr>
      <w:tr w:rsidR="0099084C" w:rsidRPr="00FF4480" w14:paraId="7C935169" w14:textId="77777777" w:rsidTr="00E9565F">
        <w:trPr>
          <w:jc w:val="center"/>
        </w:trPr>
        <w:tc>
          <w:tcPr>
            <w:tcW w:w="554" w:type="dxa"/>
          </w:tcPr>
          <w:p w14:paraId="67C2C996"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36BC7C53" w14:textId="09EA652D"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77FA4727" w14:textId="003822AE"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3</w:t>
            </w:r>
          </w:p>
        </w:tc>
        <w:tc>
          <w:tcPr>
            <w:tcW w:w="5670" w:type="dxa"/>
            <w:vAlign w:val="center"/>
          </w:tcPr>
          <w:p w14:paraId="3D6BEB27" w14:textId="09EFA6C3"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Zmiana ustawy z dnia 14 lutego 1991</w:t>
            </w:r>
            <w:r w:rsidR="00B75BB4">
              <w:rPr>
                <w:rFonts w:ascii="Times New Roman" w:hAnsi="Times New Roman" w:cs="Times New Roman"/>
                <w:sz w:val="20"/>
              </w:rPr>
              <w:t xml:space="preserve"> </w:t>
            </w:r>
            <w:r w:rsidRPr="009C1A83">
              <w:rPr>
                <w:rFonts w:ascii="Times New Roman" w:hAnsi="Times New Roman" w:cs="Times New Roman"/>
                <w:sz w:val="20"/>
              </w:rPr>
              <w:t>r. Prawo o notariacie (tj. Dz.U. z 2024</w:t>
            </w:r>
            <w:r w:rsidR="00B75BB4">
              <w:rPr>
                <w:rFonts w:ascii="Times New Roman" w:hAnsi="Times New Roman" w:cs="Times New Roman"/>
                <w:sz w:val="20"/>
              </w:rPr>
              <w:t xml:space="preserve"> </w:t>
            </w:r>
            <w:r w:rsidRPr="009C1A83">
              <w:rPr>
                <w:rFonts w:ascii="Times New Roman" w:hAnsi="Times New Roman" w:cs="Times New Roman"/>
                <w:sz w:val="20"/>
              </w:rPr>
              <w:t xml:space="preserve">r., poz.1001) poprzez nadanie nowej treści art.41z §1 oraz wprowadzenie nowego §1a w art.41a budzi wiele wątpliwości co do celu jakiemu ma służyć prowadzenie rejestru w zakresie, jaki przewidują wymienione przepisy. Projektodawca w ogóle tego nie </w:t>
            </w:r>
            <w:r w:rsidRPr="009C1A83">
              <w:rPr>
                <w:rFonts w:ascii="Times New Roman" w:hAnsi="Times New Roman" w:cs="Times New Roman"/>
                <w:sz w:val="20"/>
              </w:rPr>
              <w:lastRenderedPageBreak/>
              <w:t>wyjaśnił (szerzej na ten temat w części odnoszącej się do Uzasadnienia).</w:t>
            </w:r>
          </w:p>
          <w:p w14:paraId="70290C6F"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Charakter i zakres danych gromadzonych obecnie przez Krajową Radę Notarialną w oparciu o przepis art.41a jest w zupełności wystarczający. Są to podstawowe aktualne informacje, które siłą rzeczy nie mogą być „bieżącym spisem z natury”, bo ten prowadzą właściwe rady notarialne, sprawujące nadzór nad notariuszami w ramach ustawowych kompetencji.</w:t>
            </w:r>
          </w:p>
          <w:p w14:paraId="71CEF349"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W zakresie rejestru KRN realizuje obowiązek nadany przez ustawę. Można go porównać do obowiązków Ministra Sprawiedliwości, przewidzianych treścią art.9 Prawa o notariacie. Rejestr kancelarii notarialnych ogłaszany jest raz w roku, czyli z założenia nie uwzględnia stanu aktualnego, a ma charakter wyłącznie informacyjny (z tym, że rejestr prowadzony przez Ministra Sprawiedliwości jest o tyle niepełny, że dotyczy on spisu nie notariuszy, a kancelarii notarialnych, a przecież zmiany w tym zakresie następują w trakcie roku dosyć często). Mając to na uwadze, taki sam, wyłącznie informacyjny charakter, powinien mieć rejestr prowadzony przez Krajową Radę Notarialną. I w tym zakresie ZG SNRP uważa, że zmiana nie ma jakiegokolwiek uzasadnienia poza nałożeniem obowiązków w celu realizacji bliżej niekreślonego celu, a generuje dodatkowe koszty, które w efekcie poniesie szeregowy notariusz.</w:t>
            </w:r>
          </w:p>
          <w:p w14:paraId="2B582631"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Zdaniem ZG SNRP, aby zrozumieć istotę sprawy i bezzasadność proponowanej zmiany należy wyjaśnić to, dlaczego te dane są zmienne i płynne i ich bieżący spis nie jest możliwy.</w:t>
            </w:r>
          </w:p>
          <w:p w14:paraId="6E54D66B"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Otóż notariusz może wyznaczyć swojego zastępcę spośród innych notariuszy z danej izby względnie spośród zastępców notarialnych ujawnionych w wykazie zastępców danej izby czy wreszcie spośród emerytowanych notariuszy. Takie zastępstwo może być wyznaczone zarówno na czas dłuższy jak i krótszy, nawet na konkretne godziny i do dokonywania konkretnych</w:t>
            </w:r>
            <w:r>
              <w:rPr>
                <w:rFonts w:ascii="Times New Roman" w:hAnsi="Times New Roman" w:cs="Times New Roman"/>
                <w:sz w:val="20"/>
              </w:rPr>
              <w:t xml:space="preserve"> </w:t>
            </w:r>
            <w:r w:rsidRPr="009C1A83">
              <w:rPr>
                <w:rFonts w:ascii="Times New Roman" w:hAnsi="Times New Roman" w:cs="Times New Roman"/>
                <w:sz w:val="20"/>
              </w:rPr>
              <w:t>czynności. A wszystko to na skutek decyzji notariusza, który o tym fakcie informuje prezesa właściwej rady notarialnej (art.21 prawa o notariacie). Ponadto w sytuacjach przewidzianych treścią art.22 prawa o notariacie, podstawą wyznaczenia zastępstwa jest uchwała właściwej izby notarialnej.</w:t>
            </w:r>
          </w:p>
          <w:p w14:paraId="47B2C93F"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lastRenderedPageBreak/>
              <w:t>Te dane są gromadzone przez rady izb notarialnych i każdy, kto wykaże swój interes prawny otrzyma informację o tym, czy czynności notarialnych dokonywała uprawniona do tego osoba. Sprawowany w ten sposób przez rady izb notarialnych nadzór nad notariuszami jest nie tylko wypełnieniem ustawowego obowiązku, ale przede wszystkim sprawnie funkcjonującym systemem, gromadzącym najbardziej aktualne dane, angażującym siły i środki (w tym finansowe) w zakresie ustalonych i uchwalonych budżetów izb notarialnych.</w:t>
            </w:r>
          </w:p>
          <w:p w14:paraId="30DF51D3" w14:textId="77777777" w:rsidR="0099084C" w:rsidRPr="009C1A8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Proponowana przez projektodawcę zmiana po pierwsze, dołoży obowiązków radom izb notarialnych, a po drugie wygeneruje dodatkowe koszty związane z wprowadzaniem tych danych oraz przede wszystkim zbudowaniem systemów i ich obsługą, które to koszty, co chcemy jeszcze raz z całą stanowczością podkreślić, poniesie każdy notariusz z osobna.</w:t>
            </w:r>
          </w:p>
          <w:p w14:paraId="57889C8D" w14:textId="0252E0A0" w:rsidR="0099084C" w:rsidRPr="00247963" w:rsidRDefault="0099084C" w:rsidP="0099084C">
            <w:pPr>
              <w:spacing w:before="120" w:after="120"/>
              <w:jc w:val="both"/>
              <w:rPr>
                <w:rFonts w:ascii="Times New Roman" w:hAnsi="Times New Roman" w:cs="Times New Roman"/>
                <w:sz w:val="20"/>
              </w:rPr>
            </w:pPr>
            <w:r w:rsidRPr="009C1A83">
              <w:rPr>
                <w:rFonts w:ascii="Times New Roman" w:hAnsi="Times New Roman" w:cs="Times New Roman"/>
                <w:sz w:val="20"/>
              </w:rPr>
              <w:t>Na koniec dodać należy, że zaskakującym jest to, że pomysł powyższych zmian jest inicjatywą Ministra Rozwoju i Technologii, a nie Ministra Sprawiedliwości jako organu sprawującego ustawowy nadzór nad notariuszami.</w:t>
            </w:r>
          </w:p>
        </w:tc>
        <w:tc>
          <w:tcPr>
            <w:tcW w:w="4160" w:type="dxa"/>
          </w:tcPr>
          <w:p w14:paraId="244391BF" w14:textId="77777777" w:rsidR="00D8468A" w:rsidRPr="002F6D4F" w:rsidRDefault="00D8468A" w:rsidP="00D8468A">
            <w:pPr>
              <w:spacing w:before="120" w:after="120"/>
              <w:jc w:val="both"/>
              <w:rPr>
                <w:rFonts w:ascii="Times New Roman" w:hAnsi="Times New Roman"/>
                <w:color w:val="0070C0"/>
                <w:sz w:val="20"/>
              </w:rPr>
            </w:pPr>
            <w:r w:rsidRPr="002F6D4F">
              <w:rPr>
                <w:rFonts w:ascii="Times New Roman" w:hAnsi="Times New Roman"/>
                <w:color w:val="0070C0"/>
                <w:sz w:val="20"/>
              </w:rPr>
              <w:lastRenderedPageBreak/>
              <w:t>Uwaga uwzględniona w niezbędnym zakresie</w:t>
            </w:r>
          </w:p>
          <w:p w14:paraId="0629F202" w14:textId="0194E5F5" w:rsidR="00D8468A" w:rsidRDefault="00D8468A" w:rsidP="0099084C">
            <w:pPr>
              <w:spacing w:before="120" w:after="120"/>
              <w:jc w:val="both"/>
              <w:rPr>
                <w:rFonts w:ascii="Times New Roman" w:hAnsi="Times New Roman" w:cs="Times New Roman"/>
                <w:sz w:val="20"/>
              </w:rPr>
            </w:pPr>
            <w:r w:rsidRPr="002F6D4F">
              <w:rPr>
                <w:rFonts w:ascii="Times New Roman" w:hAnsi="Times New Roman" w:cs="Times New Roman"/>
                <w:sz w:val="20"/>
              </w:rPr>
              <w:t xml:space="preserve">Uwzględniając stanowisko MF i MS, </w:t>
            </w:r>
            <w:r>
              <w:rPr>
                <w:rFonts w:ascii="Times New Roman" w:hAnsi="Times New Roman" w:cs="Times New Roman"/>
                <w:sz w:val="20"/>
              </w:rPr>
              <w:t xml:space="preserve">zrezygnowano ze zmiany </w:t>
            </w:r>
            <w:r w:rsidRPr="00A03164">
              <w:rPr>
                <w:rFonts w:ascii="Times New Roman" w:hAnsi="Times New Roman" w:cs="Times New Roman"/>
                <w:sz w:val="20"/>
              </w:rPr>
              <w:t>polegającej na dodaniu w art. 41a ustawy – Prawo o notariacie nowego przepisu § 1a.</w:t>
            </w:r>
            <w:r>
              <w:rPr>
                <w:rFonts w:ascii="Times New Roman" w:hAnsi="Times New Roman" w:cs="Times New Roman"/>
                <w:sz w:val="20"/>
              </w:rPr>
              <w:t xml:space="preserve"> W zgodnej opinii obu resortów </w:t>
            </w:r>
            <w:r w:rsidRPr="00A03164">
              <w:rPr>
                <w:rFonts w:ascii="Times New Roman" w:hAnsi="Times New Roman" w:cs="Times New Roman"/>
                <w:sz w:val="20"/>
              </w:rPr>
              <w:lastRenderedPageBreak/>
              <w:t>obowiązek upubliczniania wykazu zarejestrowanych kancelarii notarialnych (poprzez ogłoszenie w formie obwieszczenia w</w:t>
            </w:r>
            <w:r>
              <w:rPr>
                <w:rFonts w:ascii="Times New Roman" w:hAnsi="Times New Roman" w:cs="Times New Roman"/>
                <w:sz w:val="20"/>
              </w:rPr>
              <w:t> </w:t>
            </w:r>
            <w:r w:rsidRPr="00A03164">
              <w:rPr>
                <w:rFonts w:ascii="Times New Roman" w:hAnsi="Times New Roman" w:cs="Times New Roman"/>
                <w:sz w:val="20"/>
              </w:rPr>
              <w:t>Dzienniku Urzędowym RP „Monitor Polski”) w pełni zabezpiecza powszechny dostęp do informacji o miejscu oraz osobach dokonujących czynności notarialnych.</w:t>
            </w:r>
          </w:p>
          <w:p w14:paraId="4D72EB76" w14:textId="4CC7DC00" w:rsidR="009C2B1B" w:rsidRDefault="009C2B1B" w:rsidP="0099084C">
            <w:pPr>
              <w:spacing w:before="120" w:after="120"/>
              <w:jc w:val="both"/>
              <w:rPr>
                <w:rFonts w:ascii="Times New Roman" w:hAnsi="Times New Roman" w:cs="Times New Roman"/>
                <w:sz w:val="20"/>
              </w:rPr>
            </w:pPr>
            <w:r>
              <w:rPr>
                <w:rFonts w:ascii="Times New Roman" w:hAnsi="Times New Roman" w:cs="Times New Roman"/>
                <w:sz w:val="20"/>
              </w:rPr>
              <w:t xml:space="preserve">Jak wcześniej wspomniano, rozszerzenie zakresu danych i informacji gromadzonych na gruncie zmienianych ustaw towarzyszących jest motywowane </w:t>
            </w:r>
            <w:r w:rsidR="00971AC7">
              <w:rPr>
                <w:rFonts w:ascii="Times New Roman" w:hAnsi="Times New Roman" w:cs="Times New Roman"/>
                <w:sz w:val="20"/>
              </w:rPr>
              <w:t>w pierwszej kolejności</w:t>
            </w:r>
            <w:r>
              <w:rPr>
                <w:rFonts w:ascii="Times New Roman" w:hAnsi="Times New Roman" w:cs="Times New Roman"/>
                <w:sz w:val="20"/>
              </w:rPr>
              <w:t xml:space="preserve"> zadaniami podmiotów, którym te dane są docelowo przekazywane, w tym KAS.</w:t>
            </w:r>
          </w:p>
          <w:p w14:paraId="56D08DAD" w14:textId="1807C8AC" w:rsidR="00045179" w:rsidRDefault="00045179" w:rsidP="0099084C">
            <w:pPr>
              <w:spacing w:before="120" w:after="120"/>
              <w:jc w:val="both"/>
              <w:rPr>
                <w:rFonts w:ascii="Times New Roman" w:hAnsi="Times New Roman" w:cs="Times New Roman"/>
                <w:sz w:val="20"/>
              </w:rPr>
            </w:pPr>
            <w:r>
              <w:rPr>
                <w:rFonts w:ascii="Times New Roman" w:hAnsi="Times New Roman" w:cs="Times New Roman"/>
                <w:sz w:val="20"/>
              </w:rPr>
              <w:t xml:space="preserve">W uzasadnieniu omówione zostały cele proponowanej modyfikacji. </w:t>
            </w:r>
            <w:r w:rsidR="006160C9" w:rsidRPr="006160C9">
              <w:rPr>
                <w:rFonts w:ascii="Times New Roman" w:hAnsi="Times New Roman" w:cs="Times New Roman"/>
                <w:sz w:val="20"/>
              </w:rPr>
              <w:t>Celem zmiany jest prawidłowa i szybka identyfikacja osób oraz ich uprawnień wypełniających obowiązek informacyjny, o którym mowa w art. 84a ustawy z dnia 29 sierpnia 1997 r. – Ordynacja podatkowa</w:t>
            </w:r>
            <w:r w:rsidR="006160C9">
              <w:rPr>
                <w:rFonts w:ascii="Times New Roman" w:hAnsi="Times New Roman" w:cs="Times New Roman"/>
                <w:sz w:val="20"/>
              </w:rPr>
              <w:t>.</w:t>
            </w:r>
            <w:r w:rsidR="006160C9">
              <w:t xml:space="preserve"> </w:t>
            </w:r>
            <w:r w:rsidR="006160C9" w:rsidRPr="006160C9">
              <w:rPr>
                <w:rFonts w:ascii="Times New Roman" w:hAnsi="Times New Roman" w:cs="Times New Roman"/>
                <w:sz w:val="20"/>
              </w:rPr>
              <w:t>Szef KAS gromadzi w systemie Centralny Rejestr Czynności Majątkowych (CRCM) dane o</w:t>
            </w:r>
            <w:r w:rsidR="00971AC7">
              <w:rPr>
                <w:rFonts w:ascii="Times New Roman" w:hAnsi="Times New Roman" w:cs="Times New Roman"/>
                <w:sz w:val="20"/>
              </w:rPr>
              <w:t> </w:t>
            </w:r>
            <w:r w:rsidR="006160C9" w:rsidRPr="006160C9">
              <w:rPr>
                <w:rFonts w:ascii="Times New Roman" w:hAnsi="Times New Roman" w:cs="Times New Roman"/>
                <w:sz w:val="20"/>
              </w:rPr>
              <w:t>czynnościach majątkowych, które mogą powodować powstanie zobowiązania podatkowego na podstawie informacji i aktów notarialnych przesyłanych przez notariuszy i ich zastępców. Otrzymuje on wprawdzie listę notariuszy i zastępców notarialnych drogą elektroniczną, zawiera ona jednak tylko elementy wskazane wprost w aktualnym brzmieniu przepisu art. 41a § 1 w związku z § 3a ustawy z</w:t>
            </w:r>
            <w:r w:rsidR="00971AC7">
              <w:rPr>
                <w:rFonts w:ascii="Times New Roman" w:hAnsi="Times New Roman" w:cs="Times New Roman"/>
                <w:sz w:val="20"/>
              </w:rPr>
              <w:t> </w:t>
            </w:r>
            <w:r w:rsidR="006160C9" w:rsidRPr="006160C9">
              <w:rPr>
                <w:rFonts w:ascii="Times New Roman" w:hAnsi="Times New Roman" w:cs="Times New Roman"/>
                <w:sz w:val="20"/>
              </w:rPr>
              <w:t xml:space="preserve">dnia 14 lutego 1991 r. – Prawo o notariacie (m.in. imię i nazwisko notariusza albo zastępcy notarialnego). Determinuje to konieczność ich dalszej „manualnej” weryfikacji przed zaimportowaniem do prowadzonego przez Szefa KAS systemu. Taka sytuacja opóźnia udostępnianie aktów notarialnych w systemie. Brak możliwości identyfikacji osoby, która </w:t>
            </w:r>
            <w:r w:rsidR="006160C9" w:rsidRPr="006160C9">
              <w:rPr>
                <w:rFonts w:ascii="Times New Roman" w:hAnsi="Times New Roman" w:cs="Times New Roman"/>
                <w:sz w:val="20"/>
              </w:rPr>
              <w:lastRenderedPageBreak/>
              <w:t xml:space="preserve">dokonała czynności notarialnych, powoduje niemożność powiązania tych danych bądź błędne pobieranie i prezentowanie danych przekazywanych przez notariuszy. </w:t>
            </w:r>
            <w:r w:rsidR="006160C9">
              <w:rPr>
                <w:rFonts w:ascii="Times New Roman" w:hAnsi="Times New Roman" w:cs="Times New Roman"/>
                <w:sz w:val="20"/>
              </w:rPr>
              <w:t xml:space="preserve"> </w:t>
            </w:r>
            <w:r w:rsidRPr="00045179">
              <w:rPr>
                <w:rFonts w:ascii="Times New Roman" w:hAnsi="Times New Roman" w:cs="Times New Roman"/>
                <w:sz w:val="20"/>
              </w:rPr>
              <w:t xml:space="preserve">Zaprojektowana zmiana </w:t>
            </w:r>
            <w:r>
              <w:rPr>
                <w:rFonts w:ascii="Times New Roman" w:hAnsi="Times New Roman" w:cs="Times New Roman"/>
                <w:sz w:val="20"/>
              </w:rPr>
              <w:t xml:space="preserve">sprowadza się </w:t>
            </w:r>
            <w:r w:rsidR="006160C9">
              <w:rPr>
                <w:rFonts w:ascii="Times New Roman" w:hAnsi="Times New Roman" w:cs="Times New Roman"/>
                <w:sz w:val="20"/>
              </w:rPr>
              <w:t xml:space="preserve">zatem </w:t>
            </w:r>
            <w:r>
              <w:rPr>
                <w:rFonts w:ascii="Times New Roman" w:hAnsi="Times New Roman" w:cs="Times New Roman"/>
                <w:sz w:val="20"/>
              </w:rPr>
              <w:t>jedynie</w:t>
            </w:r>
            <w:r w:rsidRPr="00045179">
              <w:rPr>
                <w:rFonts w:ascii="Times New Roman" w:hAnsi="Times New Roman" w:cs="Times New Roman"/>
                <w:sz w:val="20"/>
              </w:rPr>
              <w:t xml:space="preserve"> </w:t>
            </w:r>
            <w:r>
              <w:rPr>
                <w:rFonts w:ascii="Times New Roman" w:hAnsi="Times New Roman" w:cs="Times New Roman"/>
                <w:sz w:val="20"/>
              </w:rPr>
              <w:t xml:space="preserve">do </w:t>
            </w:r>
            <w:r w:rsidRPr="00045179">
              <w:rPr>
                <w:rFonts w:ascii="Times New Roman" w:hAnsi="Times New Roman" w:cs="Times New Roman"/>
                <w:sz w:val="20"/>
              </w:rPr>
              <w:t>automatyczne</w:t>
            </w:r>
            <w:r>
              <w:rPr>
                <w:rFonts w:ascii="Times New Roman" w:hAnsi="Times New Roman" w:cs="Times New Roman"/>
                <w:sz w:val="20"/>
              </w:rPr>
              <w:t>go</w:t>
            </w:r>
            <w:r w:rsidRPr="00045179">
              <w:rPr>
                <w:rFonts w:ascii="Times New Roman" w:hAnsi="Times New Roman" w:cs="Times New Roman"/>
                <w:sz w:val="20"/>
              </w:rPr>
              <w:t xml:space="preserve"> przekazywani</w:t>
            </w:r>
            <w:r>
              <w:rPr>
                <w:rFonts w:ascii="Times New Roman" w:hAnsi="Times New Roman" w:cs="Times New Roman"/>
                <w:sz w:val="20"/>
              </w:rPr>
              <w:t>a</w:t>
            </w:r>
            <w:r w:rsidRPr="00045179">
              <w:rPr>
                <w:rFonts w:ascii="Times New Roman" w:hAnsi="Times New Roman" w:cs="Times New Roman"/>
                <w:sz w:val="20"/>
              </w:rPr>
              <w:t xml:space="preserve"> danych, które dotychczas były wprowadzane fizycznie w celu identyfikacji osób uczestniczących w czynnościach majątkowych. Taki sposób przekazywania danych nie tylko usprawni proces, ale też ograniczy możliwość wprowadzania błędnych danych.</w:t>
            </w:r>
          </w:p>
          <w:p w14:paraId="6AB9CAE9" w14:textId="72B021C0" w:rsidR="00086072" w:rsidRDefault="00086072" w:rsidP="0099084C">
            <w:pPr>
              <w:spacing w:before="120" w:after="120"/>
              <w:jc w:val="both"/>
              <w:rPr>
                <w:rFonts w:ascii="Times New Roman" w:hAnsi="Times New Roman" w:cs="Times New Roman"/>
                <w:sz w:val="20"/>
              </w:rPr>
            </w:pPr>
            <w:r>
              <w:rPr>
                <w:rFonts w:ascii="Times New Roman" w:hAnsi="Times New Roman" w:cs="Times New Roman"/>
                <w:sz w:val="20"/>
              </w:rPr>
              <w:t xml:space="preserve">Jak zauważa </w:t>
            </w:r>
            <w:r w:rsidR="009C2B1B">
              <w:rPr>
                <w:rFonts w:ascii="Times New Roman" w:hAnsi="Times New Roman" w:cs="Times New Roman"/>
                <w:sz w:val="20"/>
              </w:rPr>
              <w:t xml:space="preserve">w swojej opinii </w:t>
            </w:r>
            <w:r>
              <w:rPr>
                <w:rFonts w:ascii="Times New Roman" w:hAnsi="Times New Roman" w:cs="Times New Roman"/>
                <w:sz w:val="20"/>
              </w:rPr>
              <w:t>MF, argumentując zakres danych podlegających uzupełnieniu na potrzeby realizacji zadań organów działających we właściwości MF, przykładowo „n</w:t>
            </w:r>
            <w:r w:rsidRPr="00086072">
              <w:rPr>
                <w:rFonts w:ascii="Times New Roman" w:hAnsi="Times New Roman" w:cs="Times New Roman"/>
                <w:sz w:val="20"/>
              </w:rPr>
              <w:t xml:space="preserve">umer PESEL oraz numer identyfikacji podatkowej NIP to </w:t>
            </w:r>
            <w:r w:rsidR="00971AC7" w:rsidRPr="00086072">
              <w:rPr>
                <w:rFonts w:ascii="Times New Roman" w:hAnsi="Times New Roman" w:cs="Times New Roman"/>
                <w:sz w:val="20"/>
              </w:rPr>
              <w:t>dane,</w:t>
            </w:r>
            <w:r w:rsidRPr="00086072">
              <w:rPr>
                <w:rFonts w:ascii="Times New Roman" w:hAnsi="Times New Roman" w:cs="Times New Roman"/>
                <w:sz w:val="20"/>
              </w:rPr>
              <w:t xml:space="preserve"> za pomocą których organy Krajowej Administracji Skarbowej identyfikują podatników i płatników.</w:t>
            </w:r>
            <w:r>
              <w:rPr>
                <w:rFonts w:ascii="Times New Roman" w:hAnsi="Times New Roman" w:cs="Times New Roman"/>
                <w:sz w:val="20"/>
              </w:rPr>
              <w:t xml:space="preserve"> </w:t>
            </w:r>
            <w:r w:rsidRPr="00086072">
              <w:rPr>
                <w:rFonts w:ascii="Times New Roman" w:hAnsi="Times New Roman" w:cs="Times New Roman"/>
                <w:sz w:val="20"/>
              </w:rPr>
              <w:t>Takie dane są przekazywane we wszelkich informacjach i</w:t>
            </w:r>
            <w:r>
              <w:rPr>
                <w:rFonts w:ascii="Times New Roman" w:hAnsi="Times New Roman" w:cs="Times New Roman"/>
                <w:sz w:val="20"/>
              </w:rPr>
              <w:t> </w:t>
            </w:r>
            <w:r w:rsidRPr="00086072">
              <w:rPr>
                <w:rFonts w:ascii="Times New Roman" w:hAnsi="Times New Roman" w:cs="Times New Roman"/>
                <w:sz w:val="20"/>
              </w:rPr>
              <w:t>deklaracjach składanych do organów podatkowych przez wszystkich podatników i</w:t>
            </w:r>
            <w:r>
              <w:rPr>
                <w:rFonts w:ascii="Times New Roman" w:hAnsi="Times New Roman" w:cs="Times New Roman"/>
                <w:sz w:val="20"/>
              </w:rPr>
              <w:t> </w:t>
            </w:r>
            <w:r w:rsidRPr="00086072">
              <w:rPr>
                <w:rFonts w:ascii="Times New Roman" w:hAnsi="Times New Roman" w:cs="Times New Roman"/>
                <w:sz w:val="20"/>
              </w:rPr>
              <w:t>płatników, a tym bardziej prowadzących działalność gospodarczą (taką działalność prowadzą notariusze). Są to dane znane Szefowi KAS. Ich unikatowość powoduje, że jest możliwa identyfikacja osoby dokonującej urzędowej czynności i zabezpiecza przed nieuprawnionym udostępnieniem danych z aktów notarialnych osobom trzecim.</w:t>
            </w:r>
            <w:r>
              <w:rPr>
                <w:rFonts w:ascii="Times New Roman" w:hAnsi="Times New Roman" w:cs="Times New Roman"/>
                <w:sz w:val="20"/>
              </w:rPr>
              <w:t xml:space="preserve">”. </w:t>
            </w:r>
          </w:p>
          <w:p w14:paraId="2EEAB0F4" w14:textId="2159FE98" w:rsidR="00520F8D" w:rsidRPr="00EA7F10" w:rsidRDefault="003D05D7" w:rsidP="00E10CBE">
            <w:pPr>
              <w:spacing w:before="120" w:after="120"/>
              <w:jc w:val="both"/>
              <w:rPr>
                <w:rFonts w:ascii="Times New Roman" w:hAnsi="Times New Roman" w:cs="Times New Roman"/>
                <w:sz w:val="20"/>
              </w:rPr>
            </w:pPr>
            <w:r>
              <w:rPr>
                <w:rFonts w:ascii="Times New Roman" w:hAnsi="Times New Roman" w:cs="Times New Roman"/>
                <w:sz w:val="20"/>
              </w:rPr>
              <w:t xml:space="preserve">Odnosząc się </w:t>
            </w:r>
            <w:r w:rsidR="00E10CBE">
              <w:rPr>
                <w:rFonts w:ascii="Times New Roman" w:hAnsi="Times New Roman" w:cs="Times New Roman"/>
                <w:sz w:val="20"/>
              </w:rPr>
              <w:t xml:space="preserve">natomiast </w:t>
            </w:r>
            <w:r>
              <w:rPr>
                <w:rFonts w:ascii="Times New Roman" w:hAnsi="Times New Roman" w:cs="Times New Roman"/>
                <w:sz w:val="20"/>
              </w:rPr>
              <w:t>do zastrzeżeń związanych z różnymi okresami zastępstwa, a</w:t>
            </w:r>
            <w:r w:rsidR="00E10CBE">
              <w:rPr>
                <w:rFonts w:ascii="Times New Roman" w:hAnsi="Times New Roman" w:cs="Times New Roman"/>
                <w:sz w:val="20"/>
              </w:rPr>
              <w:t> </w:t>
            </w:r>
            <w:r>
              <w:rPr>
                <w:rFonts w:ascii="Times New Roman" w:hAnsi="Times New Roman" w:cs="Times New Roman"/>
                <w:sz w:val="20"/>
              </w:rPr>
              <w:t xml:space="preserve">tym samym </w:t>
            </w:r>
            <w:r w:rsidRPr="003D05D7">
              <w:rPr>
                <w:rFonts w:ascii="Times New Roman" w:hAnsi="Times New Roman" w:cs="Times New Roman"/>
                <w:sz w:val="20"/>
              </w:rPr>
              <w:t>trudności w prowadzeniu listy</w:t>
            </w:r>
            <w:r>
              <w:rPr>
                <w:rFonts w:ascii="Times New Roman" w:hAnsi="Times New Roman" w:cs="Times New Roman"/>
                <w:sz w:val="20"/>
              </w:rPr>
              <w:t>,</w:t>
            </w:r>
            <w:r w:rsidRPr="003D05D7">
              <w:rPr>
                <w:rFonts w:ascii="Times New Roman" w:hAnsi="Times New Roman" w:cs="Times New Roman"/>
                <w:sz w:val="20"/>
              </w:rPr>
              <w:t xml:space="preserve"> należy wskazać, że </w:t>
            </w:r>
            <w:r>
              <w:rPr>
                <w:rFonts w:ascii="Times New Roman" w:hAnsi="Times New Roman" w:cs="Times New Roman"/>
                <w:sz w:val="20"/>
              </w:rPr>
              <w:t>w opinii MF „</w:t>
            </w:r>
            <w:r w:rsidRPr="003D05D7">
              <w:rPr>
                <w:rFonts w:ascii="Times New Roman" w:hAnsi="Times New Roman" w:cs="Times New Roman"/>
                <w:sz w:val="20"/>
              </w:rPr>
              <w:t>uzyskanie informacji o</w:t>
            </w:r>
            <w:r>
              <w:rPr>
                <w:rFonts w:ascii="Times New Roman" w:hAnsi="Times New Roman" w:cs="Times New Roman"/>
                <w:sz w:val="20"/>
              </w:rPr>
              <w:t> </w:t>
            </w:r>
            <w:r w:rsidRPr="003D05D7">
              <w:rPr>
                <w:rFonts w:ascii="Times New Roman" w:hAnsi="Times New Roman" w:cs="Times New Roman"/>
                <w:sz w:val="20"/>
              </w:rPr>
              <w:t xml:space="preserve">zastępstwie notariusza już </w:t>
            </w:r>
            <w:r w:rsidRPr="003D05D7">
              <w:rPr>
                <w:rFonts w:ascii="Times New Roman" w:hAnsi="Times New Roman" w:cs="Times New Roman"/>
                <w:i/>
                <w:iCs/>
                <w:sz w:val="20"/>
              </w:rPr>
              <w:t>post factum</w:t>
            </w:r>
            <w:r w:rsidRPr="003D05D7">
              <w:rPr>
                <w:rFonts w:ascii="Times New Roman" w:hAnsi="Times New Roman" w:cs="Times New Roman"/>
                <w:sz w:val="20"/>
              </w:rPr>
              <w:t xml:space="preserve"> spełnia cel projektowanej zmiany. Zgodnie bowiem z</w:t>
            </w:r>
            <w:r>
              <w:rPr>
                <w:rFonts w:ascii="Times New Roman" w:hAnsi="Times New Roman" w:cs="Times New Roman"/>
                <w:sz w:val="20"/>
              </w:rPr>
              <w:t> </w:t>
            </w:r>
            <w:r w:rsidRPr="003D05D7">
              <w:rPr>
                <w:rFonts w:ascii="Times New Roman" w:hAnsi="Times New Roman" w:cs="Times New Roman"/>
                <w:sz w:val="20"/>
              </w:rPr>
              <w:t>art.</w:t>
            </w:r>
            <w:r>
              <w:rPr>
                <w:rFonts w:ascii="Times New Roman" w:hAnsi="Times New Roman" w:cs="Times New Roman"/>
                <w:sz w:val="20"/>
              </w:rPr>
              <w:t> </w:t>
            </w:r>
            <w:r w:rsidRPr="003D05D7">
              <w:rPr>
                <w:rFonts w:ascii="Times New Roman" w:hAnsi="Times New Roman" w:cs="Times New Roman"/>
                <w:sz w:val="20"/>
              </w:rPr>
              <w:t xml:space="preserve">84a ustawy – Ordynacja </w:t>
            </w:r>
            <w:r w:rsidRPr="003D05D7">
              <w:rPr>
                <w:rFonts w:ascii="Times New Roman" w:hAnsi="Times New Roman" w:cs="Times New Roman"/>
                <w:sz w:val="20"/>
              </w:rPr>
              <w:lastRenderedPageBreak/>
              <w:t>podatkowa dane z</w:t>
            </w:r>
            <w:r>
              <w:rPr>
                <w:rFonts w:ascii="Times New Roman" w:hAnsi="Times New Roman" w:cs="Times New Roman"/>
                <w:sz w:val="20"/>
              </w:rPr>
              <w:t> </w:t>
            </w:r>
            <w:r w:rsidRPr="003D05D7">
              <w:rPr>
                <w:rFonts w:ascii="Times New Roman" w:hAnsi="Times New Roman" w:cs="Times New Roman"/>
                <w:sz w:val="20"/>
              </w:rPr>
              <w:t>aktów notarialnych są przekazywane Szefowi KAS w terminie 7 dni, a</w:t>
            </w:r>
            <w:r w:rsidR="00E10CBE">
              <w:rPr>
                <w:rFonts w:ascii="Times New Roman" w:hAnsi="Times New Roman" w:cs="Times New Roman"/>
                <w:sz w:val="20"/>
              </w:rPr>
              <w:t> </w:t>
            </w:r>
            <w:r w:rsidRPr="003D05D7">
              <w:rPr>
                <w:rFonts w:ascii="Times New Roman" w:hAnsi="Times New Roman" w:cs="Times New Roman"/>
                <w:sz w:val="20"/>
              </w:rPr>
              <w:t xml:space="preserve">więc również </w:t>
            </w:r>
            <w:r w:rsidRPr="003D05D7">
              <w:rPr>
                <w:rFonts w:ascii="Times New Roman" w:hAnsi="Times New Roman" w:cs="Times New Roman"/>
                <w:i/>
                <w:iCs/>
                <w:sz w:val="20"/>
              </w:rPr>
              <w:t>post factum</w:t>
            </w:r>
            <w:r>
              <w:rPr>
                <w:rFonts w:ascii="Times New Roman" w:hAnsi="Times New Roman" w:cs="Times New Roman"/>
                <w:sz w:val="20"/>
              </w:rPr>
              <w:t>”</w:t>
            </w:r>
            <w:r w:rsidRPr="003D05D7">
              <w:rPr>
                <w:rFonts w:ascii="Times New Roman" w:hAnsi="Times New Roman" w:cs="Times New Roman"/>
                <w:sz w:val="20"/>
              </w:rPr>
              <w:t>.</w:t>
            </w:r>
          </w:p>
        </w:tc>
      </w:tr>
      <w:tr w:rsidR="0099084C" w:rsidRPr="00FF4480" w14:paraId="5D49A2E5" w14:textId="77777777" w:rsidTr="00E9565F">
        <w:trPr>
          <w:jc w:val="center"/>
        </w:trPr>
        <w:tc>
          <w:tcPr>
            <w:tcW w:w="554" w:type="dxa"/>
          </w:tcPr>
          <w:p w14:paraId="00EB5542"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F327A53" w14:textId="16A890BB" w:rsidR="0099084C" w:rsidRPr="00247963" w:rsidRDefault="0099084C" w:rsidP="0099084C">
            <w:pPr>
              <w:spacing w:before="120" w:after="120"/>
              <w:rPr>
                <w:rFonts w:ascii="Times New Roman" w:hAnsi="Times New Roman" w:cs="Times New Roman"/>
                <w:sz w:val="20"/>
              </w:rPr>
            </w:pPr>
            <w:r w:rsidRPr="00B67409">
              <w:rPr>
                <w:rFonts w:ascii="Times New Roman" w:hAnsi="Times New Roman" w:cs="Times New Roman"/>
                <w:sz w:val="20"/>
              </w:rPr>
              <w:t>Związek Banków Polskich</w:t>
            </w:r>
          </w:p>
        </w:tc>
        <w:tc>
          <w:tcPr>
            <w:tcW w:w="1905" w:type="dxa"/>
            <w:vAlign w:val="center"/>
          </w:tcPr>
          <w:p w14:paraId="2E8BA895" w14:textId="1A6ABE89" w:rsidR="0099084C" w:rsidRDefault="0099084C" w:rsidP="0099084C">
            <w:pPr>
              <w:spacing w:before="120" w:after="120"/>
              <w:jc w:val="center"/>
              <w:rPr>
                <w:rFonts w:ascii="Times New Roman" w:hAnsi="Times New Roman" w:cs="Times New Roman"/>
                <w:sz w:val="20"/>
              </w:rPr>
            </w:pPr>
            <w:r w:rsidRPr="00B67409">
              <w:rPr>
                <w:rFonts w:ascii="Times New Roman" w:hAnsi="Times New Roman" w:cs="Times New Roman"/>
                <w:sz w:val="20"/>
              </w:rPr>
              <w:t xml:space="preserve">Art. </w:t>
            </w:r>
            <w:r>
              <w:rPr>
                <w:rFonts w:ascii="Times New Roman" w:hAnsi="Times New Roman" w:cs="Times New Roman"/>
                <w:sz w:val="20"/>
              </w:rPr>
              <w:t>3</w:t>
            </w:r>
          </w:p>
        </w:tc>
        <w:tc>
          <w:tcPr>
            <w:tcW w:w="5670" w:type="dxa"/>
            <w:vAlign w:val="center"/>
          </w:tcPr>
          <w:p w14:paraId="13BAE52D" w14:textId="77777777" w:rsidR="0099084C" w:rsidRPr="00B67409" w:rsidRDefault="0099084C" w:rsidP="0099084C">
            <w:pPr>
              <w:spacing w:before="120" w:after="120"/>
              <w:jc w:val="both"/>
              <w:rPr>
                <w:rFonts w:ascii="Times New Roman" w:hAnsi="Times New Roman" w:cs="Times New Roman"/>
                <w:sz w:val="20"/>
              </w:rPr>
            </w:pPr>
            <w:r w:rsidRPr="00B67409">
              <w:rPr>
                <w:rFonts w:ascii="Times New Roman" w:hAnsi="Times New Roman" w:cs="Times New Roman"/>
                <w:sz w:val="20"/>
              </w:rPr>
              <w:t>Postuluje się dodanie poprawki dotyczącej wprowadzenia Elektronicznej Karty Nieruchomości. Poniższa propozycja realizuje postulat upowszechnienia standardu opisu nieruchomości wykorzystywanego wśród wszystkich uczestników rynku nieruchomości (wymóg uzupełnienia wszystkich podstawowych informacji o nieruchomości) poprzez wprowadzenie standardowego opisu nieruchomości w akcie notarialnym – elektronicznej karty nieruchomości, jako obowiązkowego załącznika do umów przenoszących własność nieruchomości. Proponuje się stworzenie i upowszechnienie stosowania elektronicznej karty nieruchomości (EKN) - pliku informatycznego wykorzystywanego przez wszystkich uczestników rynku nieruchomości, w tym przez jednostki administracji państwowej i samorządowej.</w:t>
            </w:r>
          </w:p>
          <w:p w14:paraId="03F6B26A" w14:textId="77777777" w:rsidR="0099084C" w:rsidRPr="00B67409" w:rsidRDefault="0099084C" w:rsidP="0099084C">
            <w:pPr>
              <w:spacing w:before="120" w:after="120"/>
              <w:jc w:val="both"/>
              <w:rPr>
                <w:rFonts w:ascii="Times New Roman" w:hAnsi="Times New Roman" w:cs="Times New Roman"/>
                <w:sz w:val="20"/>
              </w:rPr>
            </w:pPr>
            <w:r w:rsidRPr="00B67409">
              <w:rPr>
                <w:rFonts w:ascii="Times New Roman" w:hAnsi="Times New Roman" w:cs="Times New Roman"/>
                <w:sz w:val="20"/>
              </w:rPr>
              <w:t>Art. 3. W ustawie z dnia 14 lutego 1991 r. – Prawo o notariacie (Dz.U. z 2024 r. poz. 1001) wprowadza się następującą zmianę:</w:t>
            </w:r>
          </w:p>
          <w:p w14:paraId="5F1D6BE5" w14:textId="77777777" w:rsidR="0099084C" w:rsidRDefault="0099084C" w:rsidP="0099084C">
            <w:pPr>
              <w:spacing w:before="120" w:after="120"/>
              <w:jc w:val="both"/>
              <w:rPr>
                <w:rFonts w:ascii="Times New Roman" w:hAnsi="Times New Roman" w:cs="Times New Roman"/>
                <w:sz w:val="20"/>
              </w:rPr>
            </w:pPr>
            <w:r w:rsidRPr="00B67409">
              <w:rPr>
                <w:rFonts w:ascii="Times New Roman" w:hAnsi="Times New Roman" w:cs="Times New Roman"/>
                <w:sz w:val="20"/>
              </w:rPr>
              <w:t>xxx) W art. 92 po § 41 dodaje się § 42 w brzmieniu:</w:t>
            </w:r>
          </w:p>
          <w:p w14:paraId="3ECF26AF" w14:textId="4F03AD8A" w:rsidR="0099084C" w:rsidRPr="00AB5F7C" w:rsidRDefault="0099084C" w:rsidP="0099084C">
            <w:pPr>
              <w:spacing w:before="120" w:after="120"/>
              <w:jc w:val="both"/>
              <w:rPr>
                <w:rFonts w:ascii="Times New Roman" w:hAnsi="Times New Roman" w:cs="Times New Roman"/>
                <w:sz w:val="20"/>
              </w:rPr>
            </w:pPr>
            <w:r w:rsidRPr="00B67409">
              <w:rPr>
                <w:rFonts w:ascii="Times New Roman" w:hAnsi="Times New Roman" w:cs="Times New Roman"/>
                <w:sz w:val="20"/>
              </w:rPr>
              <w:t>„§ 42.  Jeżeli akt notarialny obejmuje czynność przenoszącą własność nieruchomości, notariusz sporządza na podstawie dokumentów i oświadczeń przedłożonych przez strony czynności notarialnej, na formularzu urzędowym w formie elektronicznej karty nieruchomości, zawierającą opis i informacje dotyczące nieruchomości, w tym dane pochodzące ze świadectw charakterystyki energetycznej budynków. Karta nieruchomości w formie elektronicznej stanowi załącznik do aktu. Minister Sprawiedliwości określi, w drodze rozporządzenia, wzór formularza karty nieruchomości.”</w:t>
            </w:r>
          </w:p>
        </w:tc>
        <w:tc>
          <w:tcPr>
            <w:tcW w:w="4160" w:type="dxa"/>
          </w:tcPr>
          <w:p w14:paraId="0EB94A07" w14:textId="77777777" w:rsidR="00B61801" w:rsidRPr="00BC2B80" w:rsidRDefault="00B61801" w:rsidP="00B61801">
            <w:pPr>
              <w:spacing w:before="120" w:after="120"/>
              <w:jc w:val="both"/>
              <w:rPr>
                <w:rFonts w:ascii="Times New Roman" w:hAnsi="Times New Roman" w:cs="Times New Roman"/>
                <w:sz w:val="20"/>
                <w:u w:val="single"/>
              </w:rPr>
            </w:pPr>
            <w:r w:rsidRPr="00BC2B80">
              <w:rPr>
                <w:rFonts w:ascii="Times New Roman" w:hAnsi="Times New Roman" w:cs="Times New Roman"/>
                <w:sz w:val="20"/>
                <w:u w:val="single"/>
              </w:rPr>
              <w:t>Komentarz do uwagi</w:t>
            </w:r>
          </w:p>
          <w:p w14:paraId="2C0BD726" w14:textId="75599D98" w:rsidR="0099084C" w:rsidRPr="00EA7F10" w:rsidRDefault="00B61801" w:rsidP="00B61801">
            <w:pPr>
              <w:spacing w:before="120" w:after="120"/>
              <w:jc w:val="both"/>
              <w:rPr>
                <w:rFonts w:ascii="Times New Roman" w:hAnsi="Times New Roman" w:cs="Times New Roman"/>
                <w:sz w:val="20"/>
              </w:rPr>
            </w:pPr>
            <w:r w:rsidRPr="00BC2B80">
              <w:rPr>
                <w:rFonts w:ascii="Times New Roman" w:hAnsi="Times New Roman" w:cs="Times New Roman"/>
                <w:sz w:val="20"/>
              </w:rPr>
              <w:t>W tym kontekście aktualne pozostają dotychczasowe wyjaśnienia przedstawione w</w:t>
            </w:r>
            <w:r>
              <w:rPr>
                <w:rFonts w:ascii="Times New Roman" w:hAnsi="Times New Roman" w:cs="Times New Roman"/>
                <w:sz w:val="20"/>
              </w:rPr>
              <w:t> </w:t>
            </w:r>
            <w:r w:rsidRPr="00BC2B80">
              <w:rPr>
                <w:rFonts w:ascii="Times New Roman" w:hAnsi="Times New Roman" w:cs="Times New Roman"/>
                <w:sz w:val="20"/>
              </w:rPr>
              <w:t xml:space="preserve">odpowiedzi na uwagę </w:t>
            </w:r>
            <w:r>
              <w:rPr>
                <w:rFonts w:ascii="Times New Roman" w:hAnsi="Times New Roman" w:cs="Times New Roman"/>
                <w:sz w:val="20"/>
              </w:rPr>
              <w:t>ZBP</w:t>
            </w:r>
            <w:r w:rsidRPr="00BC2B80">
              <w:rPr>
                <w:rFonts w:ascii="Times New Roman" w:hAnsi="Times New Roman" w:cs="Times New Roman"/>
                <w:sz w:val="20"/>
              </w:rPr>
              <w:t xml:space="preserve"> </w:t>
            </w:r>
            <w:r w:rsidRPr="00CE6450">
              <w:rPr>
                <w:rFonts w:ascii="Times New Roman" w:hAnsi="Times New Roman" w:cs="Times New Roman"/>
                <w:sz w:val="20"/>
              </w:rPr>
              <w:t>zatytułowaną „Elektroniczna Karta Nieruchomości”.</w:t>
            </w:r>
          </w:p>
        </w:tc>
      </w:tr>
      <w:tr w:rsidR="0099084C" w:rsidRPr="00FF4480" w14:paraId="252E90C4" w14:textId="77777777" w:rsidTr="00E9565F">
        <w:trPr>
          <w:jc w:val="center"/>
        </w:trPr>
        <w:tc>
          <w:tcPr>
            <w:tcW w:w="554" w:type="dxa"/>
          </w:tcPr>
          <w:p w14:paraId="171735C3"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70764105" w14:textId="5AA454DA"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03A94C17" w14:textId="640A6AA7"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4</w:t>
            </w:r>
          </w:p>
        </w:tc>
        <w:tc>
          <w:tcPr>
            <w:tcW w:w="5670" w:type="dxa"/>
            <w:vAlign w:val="center"/>
          </w:tcPr>
          <w:p w14:paraId="63323146" w14:textId="77777777" w:rsidR="0099084C" w:rsidRPr="00AB5F7C"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 xml:space="preserve">Proponowana zmiana art. 297e Ordynacji podatkowej jaskrawo ukazuje, że nadużyciem zasady proporcjonalności jest wykorzystywanie uprawnień Szefa Krajowej Administracji Skarbowej do realizacji celu w postaci prowadzenia Portalu DOM. Wystarczy porównać wagę tego celu do wagi zadań, które w </w:t>
            </w:r>
            <w:r w:rsidRPr="00AB5F7C">
              <w:rPr>
                <w:rFonts w:ascii="Times New Roman" w:hAnsi="Times New Roman" w:cs="Times New Roman"/>
                <w:sz w:val="20"/>
              </w:rPr>
              <w:lastRenderedPageBreak/>
              <w:t>aktualnym stanie prawnym, uzasadniają przekazywanie danych przez KAS. Są to zatem:</w:t>
            </w:r>
          </w:p>
          <w:p w14:paraId="179939B3" w14:textId="77777777" w:rsidR="0099084C" w:rsidRPr="00AB5F7C"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 zadania ustawowe realizowane przez Centralne Biuro Antykorupcyjne, Agencję Bezpieczeństwa Wewnętrznego, Policję, Straż Graniczną i Prokuraturę,</w:t>
            </w:r>
          </w:p>
          <w:p w14:paraId="6C4757C0" w14:textId="77777777" w:rsidR="0099084C" w:rsidRPr="00AB5F7C"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 zadania określone w ustawie z dnia 13 kwietnia 2022 r. o szczególnych rozwiązaniach w zakresie przeciwdziałania wspieraniu agresji na Ukrainę oraz służących ochronie bezpieczeństwa narodowego,</w:t>
            </w:r>
          </w:p>
          <w:p w14:paraId="29305E05" w14:textId="77777777" w:rsidR="0099084C"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 xml:space="preserve">- zadania w zakresie niezbędnym do zapewnienia funkcjonowania usług dostępnych w e-Urzędzie Skarbowym udostępnianych przy użyciu aplikacji </w:t>
            </w:r>
            <w:proofErr w:type="spellStart"/>
            <w:r w:rsidRPr="00AB5F7C">
              <w:rPr>
                <w:rFonts w:ascii="Times New Roman" w:hAnsi="Times New Roman" w:cs="Times New Roman"/>
                <w:sz w:val="20"/>
              </w:rPr>
              <w:t>mObywatel</w:t>
            </w:r>
            <w:proofErr w:type="spellEnd"/>
            <w:r>
              <w:rPr>
                <w:rFonts w:ascii="Times New Roman" w:hAnsi="Times New Roman" w:cs="Times New Roman"/>
                <w:sz w:val="20"/>
              </w:rPr>
              <w:t>,</w:t>
            </w:r>
          </w:p>
          <w:p w14:paraId="3E9FABB6" w14:textId="77777777" w:rsidR="0099084C" w:rsidRPr="00AB5F7C"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 zadania w zakresie niezbędnym do podejmowania środków ograniczających w związku z działaniami destabilizującymi sytuację w Ukrainie.</w:t>
            </w:r>
          </w:p>
          <w:p w14:paraId="10D8B7CB" w14:textId="0FEC83D1" w:rsidR="0099084C" w:rsidRPr="009C1A83" w:rsidRDefault="0099084C" w:rsidP="0099084C">
            <w:pPr>
              <w:spacing w:before="120" w:after="120"/>
              <w:jc w:val="both"/>
              <w:rPr>
                <w:rFonts w:ascii="Times New Roman" w:hAnsi="Times New Roman" w:cs="Times New Roman"/>
                <w:sz w:val="20"/>
              </w:rPr>
            </w:pPr>
            <w:r w:rsidRPr="00AB5F7C">
              <w:rPr>
                <w:rFonts w:ascii="Times New Roman" w:hAnsi="Times New Roman" w:cs="Times New Roman"/>
                <w:sz w:val="20"/>
              </w:rPr>
              <w:t>Projektodawca przewiduje zaś, że pośród powyższych najważniejszych dla istnienia państwa zadań pojawić się ma prowadzenie Portalu DOM, służącego w istotnej części realizacji egoistycznych interesów majątkowych uczestników rynku nieruchomości</w:t>
            </w:r>
            <w:r>
              <w:rPr>
                <w:rFonts w:ascii="Times New Roman" w:hAnsi="Times New Roman" w:cs="Times New Roman"/>
                <w:sz w:val="20"/>
              </w:rPr>
              <w:t>.</w:t>
            </w:r>
          </w:p>
        </w:tc>
        <w:tc>
          <w:tcPr>
            <w:tcW w:w="4160" w:type="dxa"/>
          </w:tcPr>
          <w:p w14:paraId="1DA54F98" w14:textId="4926E2C4" w:rsidR="0099084C" w:rsidRPr="00F53F44" w:rsidRDefault="00F53F44" w:rsidP="0099084C">
            <w:pPr>
              <w:spacing w:before="120" w:after="120"/>
              <w:jc w:val="both"/>
              <w:rPr>
                <w:rFonts w:ascii="Times New Roman" w:hAnsi="Times New Roman" w:cs="Times New Roman"/>
                <w:sz w:val="20"/>
                <w:u w:val="single"/>
              </w:rPr>
            </w:pPr>
            <w:r w:rsidRPr="00F53F44">
              <w:rPr>
                <w:rFonts w:ascii="Times New Roman" w:hAnsi="Times New Roman" w:cs="Times New Roman"/>
                <w:sz w:val="20"/>
                <w:u w:val="single"/>
              </w:rPr>
              <w:lastRenderedPageBreak/>
              <w:t>Komentarz do uwagi</w:t>
            </w:r>
          </w:p>
          <w:p w14:paraId="556437D1" w14:textId="0D55CC8C" w:rsidR="00FB322E" w:rsidRPr="00FB322E" w:rsidRDefault="00FB322E" w:rsidP="0099084C">
            <w:pPr>
              <w:spacing w:before="120" w:after="120"/>
              <w:jc w:val="both"/>
              <w:rPr>
                <w:rFonts w:ascii="Times New Roman" w:hAnsi="Times New Roman" w:cs="Times New Roman"/>
                <w:sz w:val="20"/>
              </w:rPr>
            </w:pPr>
            <w:r>
              <w:rPr>
                <w:rFonts w:ascii="Times New Roman" w:hAnsi="Times New Roman" w:cs="Times New Roman"/>
                <w:sz w:val="20"/>
              </w:rPr>
              <w:t xml:space="preserve">Jak wcześniej wspomniano, rozszerzenie zakresu danych i informacji gromadzonych na gruncie zmienianych ustaw towarzyszących jest motywowane przede wszystkim zadaniami </w:t>
            </w:r>
            <w:r>
              <w:rPr>
                <w:rFonts w:ascii="Times New Roman" w:hAnsi="Times New Roman" w:cs="Times New Roman"/>
                <w:sz w:val="20"/>
              </w:rPr>
              <w:lastRenderedPageBreak/>
              <w:t>podmiotów, którym te dane są docelowo przekazywane, w tym KAS.</w:t>
            </w:r>
          </w:p>
          <w:p w14:paraId="7309E286" w14:textId="1392F473" w:rsidR="00FB322E" w:rsidRDefault="00FB322E" w:rsidP="0099084C">
            <w:pPr>
              <w:spacing w:before="120" w:after="120"/>
              <w:jc w:val="both"/>
              <w:rPr>
                <w:rFonts w:ascii="Times New Roman" w:hAnsi="Times New Roman" w:cs="Times New Roman"/>
                <w:sz w:val="20"/>
              </w:rPr>
            </w:pPr>
            <w:r w:rsidRPr="00FB322E">
              <w:rPr>
                <w:rFonts w:ascii="Times New Roman" w:hAnsi="Times New Roman" w:cs="Times New Roman"/>
                <w:sz w:val="20"/>
              </w:rPr>
              <w:t>Należy ponadto przypomnieć, że Szef KAS dane będzie udostępniał Ubezpieczeniowemu Funduszowi Gwarancyjnemu w zakresie i</w:t>
            </w:r>
            <w:r>
              <w:rPr>
                <w:rFonts w:ascii="Times New Roman" w:hAnsi="Times New Roman" w:cs="Times New Roman"/>
                <w:sz w:val="20"/>
              </w:rPr>
              <w:t> </w:t>
            </w:r>
            <w:r w:rsidRPr="00FB322E">
              <w:rPr>
                <w:rFonts w:ascii="Times New Roman" w:hAnsi="Times New Roman" w:cs="Times New Roman"/>
                <w:sz w:val="20"/>
              </w:rPr>
              <w:t>na</w:t>
            </w:r>
            <w:r>
              <w:rPr>
                <w:rFonts w:ascii="Times New Roman" w:hAnsi="Times New Roman" w:cs="Times New Roman"/>
                <w:sz w:val="20"/>
              </w:rPr>
              <w:t> </w:t>
            </w:r>
            <w:r w:rsidRPr="00FB322E">
              <w:rPr>
                <w:rFonts w:ascii="Times New Roman" w:hAnsi="Times New Roman" w:cs="Times New Roman"/>
                <w:sz w:val="20"/>
              </w:rPr>
              <w:t xml:space="preserve">zasadach określonych w rozdziale 8a </w:t>
            </w:r>
            <w:r w:rsidR="00971AC7">
              <w:rPr>
                <w:rFonts w:ascii="Times New Roman" w:hAnsi="Times New Roman" w:cs="Times New Roman"/>
                <w:sz w:val="20"/>
              </w:rPr>
              <w:t>tzw. </w:t>
            </w:r>
            <w:r w:rsidRPr="00FB322E">
              <w:rPr>
                <w:rFonts w:ascii="Times New Roman" w:hAnsi="Times New Roman" w:cs="Times New Roman"/>
                <w:sz w:val="20"/>
              </w:rPr>
              <w:t xml:space="preserve">ustawy </w:t>
            </w:r>
            <w:r w:rsidR="00971AC7">
              <w:rPr>
                <w:rFonts w:ascii="Times New Roman" w:hAnsi="Times New Roman" w:cs="Times New Roman"/>
                <w:sz w:val="20"/>
              </w:rPr>
              <w:t>deweloperskiej</w:t>
            </w:r>
            <w:r w:rsidRPr="00FB322E">
              <w:rPr>
                <w:rFonts w:ascii="Times New Roman" w:hAnsi="Times New Roman" w:cs="Times New Roman"/>
                <w:sz w:val="20"/>
              </w:rPr>
              <w:t>. Ubezpieczeniowy Fundusz Gwarancyjny gromadzi i przetwarza dane i informacje w ramach prowadzenia Portalu DOM w celach określonych w art. 56c ust. 1 projektowanej ustawy. W art. 56c ust. 3 projektu wskazano, że uzyskane przez Ubezpieczeniowy Fundusz Gwarancyjny w związku z</w:t>
            </w:r>
            <w:r>
              <w:rPr>
                <w:rFonts w:ascii="Times New Roman" w:hAnsi="Times New Roman" w:cs="Times New Roman"/>
                <w:sz w:val="20"/>
              </w:rPr>
              <w:t> </w:t>
            </w:r>
            <w:r w:rsidRPr="00FB322E">
              <w:rPr>
                <w:rFonts w:ascii="Times New Roman" w:hAnsi="Times New Roman" w:cs="Times New Roman"/>
                <w:sz w:val="20"/>
              </w:rPr>
              <w:t xml:space="preserve">prowadzeniem Portalu DOM dane i informacje objęte tajemnica skarbową mogą być wykorzystane wyłącznie w celu realizacji zadań określonych w rozdziale 8a ustawy </w:t>
            </w:r>
            <w:r w:rsidR="00971AC7">
              <w:rPr>
                <w:rFonts w:ascii="Times New Roman" w:hAnsi="Times New Roman" w:cs="Times New Roman"/>
                <w:sz w:val="20"/>
              </w:rPr>
              <w:t>deweloperskiej</w:t>
            </w:r>
            <w:r w:rsidRPr="00FB322E">
              <w:rPr>
                <w:rFonts w:ascii="Times New Roman" w:hAnsi="Times New Roman" w:cs="Times New Roman"/>
                <w:sz w:val="20"/>
              </w:rPr>
              <w:t xml:space="preserve">. </w:t>
            </w:r>
          </w:p>
          <w:p w14:paraId="035E9A97" w14:textId="2A397CB2" w:rsidR="00F53F44" w:rsidRPr="00971AC7" w:rsidRDefault="00FB322E" w:rsidP="00971AC7">
            <w:pPr>
              <w:jc w:val="both"/>
              <w:rPr>
                <w:rFonts w:ascii="Times New Roman" w:hAnsi="Times New Roman" w:cs="Times New Roman"/>
                <w:sz w:val="20"/>
              </w:rPr>
            </w:pPr>
            <w:r w:rsidRPr="00971AC7">
              <w:rPr>
                <w:rFonts w:ascii="Times New Roman" w:hAnsi="Times New Roman" w:cs="Times New Roman"/>
                <w:sz w:val="20"/>
              </w:rPr>
              <w:t>Mając jednak na uwadze, że tajemnica skarbowa jest instytucją prawnie chroniącą bezpieczeństwo obrotu gospodarczego i służącą ochronie prywatności obywateli, rozszerzenie dostępu do</w:t>
            </w:r>
            <w:r w:rsidR="00971AC7">
              <w:rPr>
                <w:rFonts w:ascii="Times New Roman" w:hAnsi="Times New Roman" w:cs="Times New Roman"/>
                <w:sz w:val="20"/>
              </w:rPr>
              <w:t> </w:t>
            </w:r>
            <w:r w:rsidRPr="00971AC7">
              <w:rPr>
                <w:rFonts w:ascii="Times New Roman" w:hAnsi="Times New Roman" w:cs="Times New Roman"/>
                <w:sz w:val="20"/>
              </w:rPr>
              <w:t xml:space="preserve">informacji podlegających ochronie tajemnicą skarbową </w:t>
            </w:r>
            <w:r w:rsidR="00F32A64" w:rsidRPr="00971AC7">
              <w:rPr>
                <w:rFonts w:ascii="Times New Roman" w:hAnsi="Times New Roman" w:cs="Times New Roman"/>
                <w:sz w:val="20"/>
              </w:rPr>
              <w:t xml:space="preserve">zostało szerzej </w:t>
            </w:r>
            <w:r w:rsidR="006E6AC5">
              <w:rPr>
                <w:rFonts w:ascii="Times New Roman" w:hAnsi="Times New Roman" w:cs="Times New Roman"/>
                <w:sz w:val="20"/>
              </w:rPr>
              <w:t>przedstawione</w:t>
            </w:r>
            <w:r w:rsidR="00F32A64" w:rsidRPr="00971AC7">
              <w:rPr>
                <w:rFonts w:ascii="Times New Roman" w:hAnsi="Times New Roman" w:cs="Times New Roman"/>
                <w:sz w:val="20"/>
              </w:rPr>
              <w:t xml:space="preserve"> w</w:t>
            </w:r>
            <w:r w:rsidR="00971AC7" w:rsidRPr="00971AC7">
              <w:rPr>
                <w:rFonts w:ascii="Times New Roman" w:hAnsi="Times New Roman" w:cs="Times New Roman"/>
                <w:sz w:val="20"/>
              </w:rPr>
              <w:t> </w:t>
            </w:r>
            <w:r w:rsidR="00F32A64" w:rsidRPr="00971AC7">
              <w:rPr>
                <w:rFonts w:ascii="Times New Roman" w:hAnsi="Times New Roman" w:cs="Times New Roman"/>
                <w:sz w:val="20"/>
              </w:rPr>
              <w:t>uzasadnieniu</w:t>
            </w:r>
            <w:r w:rsidRPr="00971AC7">
              <w:rPr>
                <w:rFonts w:ascii="Times New Roman" w:hAnsi="Times New Roman" w:cs="Times New Roman"/>
                <w:sz w:val="20"/>
              </w:rPr>
              <w:t>.</w:t>
            </w:r>
          </w:p>
          <w:p w14:paraId="650FAB61" w14:textId="0D3E3C81" w:rsidR="00953617" w:rsidRPr="00EA7F10" w:rsidRDefault="007368B2" w:rsidP="0099084C">
            <w:pPr>
              <w:spacing w:before="120" w:after="120"/>
              <w:jc w:val="both"/>
              <w:rPr>
                <w:rFonts w:ascii="Times New Roman" w:hAnsi="Times New Roman" w:cs="Times New Roman"/>
                <w:sz w:val="20"/>
              </w:rPr>
            </w:pPr>
            <w:r>
              <w:rPr>
                <w:rFonts w:ascii="Times New Roman" w:hAnsi="Times New Roman" w:cs="Times New Roman"/>
                <w:sz w:val="20"/>
              </w:rPr>
              <w:t xml:space="preserve">Należy ponadto przypomnieć, że </w:t>
            </w:r>
            <w:r w:rsidR="00DC3F50" w:rsidRPr="00DC3F50">
              <w:rPr>
                <w:rFonts w:ascii="Times New Roman" w:hAnsi="Times New Roman" w:cs="Times New Roman"/>
                <w:sz w:val="20"/>
              </w:rPr>
              <w:t xml:space="preserve">ułatwienia dla podmiotów profesjonalnych stanowią cel dodatkowy, a nie podstawowy projektowanego narzędzia. </w:t>
            </w:r>
            <w:r w:rsidR="00DC3F50">
              <w:rPr>
                <w:rFonts w:ascii="Times New Roman" w:hAnsi="Times New Roman" w:cs="Times New Roman"/>
                <w:sz w:val="20"/>
              </w:rPr>
              <w:t>P</w:t>
            </w:r>
            <w:r w:rsidR="00DC3F50" w:rsidRPr="00DC3F50">
              <w:rPr>
                <w:rFonts w:ascii="Times New Roman" w:hAnsi="Times New Roman" w:cs="Times New Roman"/>
                <w:sz w:val="20"/>
              </w:rPr>
              <w:t>odmioty profesjonalne już obecnie dysponują możliwością dostępu do tego typu danych, m.in. dzięki temu, że mogą sobie pozwolić na dostęp komercyjny np. do bazy AMRON-</w:t>
            </w:r>
            <w:proofErr w:type="spellStart"/>
            <w:r w:rsidR="00DC3F50" w:rsidRPr="00DC3F50">
              <w:rPr>
                <w:rFonts w:ascii="Times New Roman" w:hAnsi="Times New Roman" w:cs="Times New Roman"/>
                <w:sz w:val="20"/>
              </w:rPr>
              <w:t>Sarfin</w:t>
            </w:r>
            <w:proofErr w:type="spellEnd"/>
            <w:r w:rsidR="001D2F00">
              <w:rPr>
                <w:rFonts w:ascii="Times New Roman" w:hAnsi="Times New Roman" w:cs="Times New Roman"/>
                <w:sz w:val="20"/>
              </w:rPr>
              <w:t>, co zwiększa asymetrię informacyjną na rynku mieszkaniowym</w:t>
            </w:r>
            <w:r w:rsidR="00DC3F50" w:rsidRPr="00DC3F50">
              <w:rPr>
                <w:rFonts w:ascii="Times New Roman" w:hAnsi="Times New Roman" w:cs="Times New Roman"/>
                <w:sz w:val="20"/>
              </w:rPr>
              <w:t xml:space="preserve">. Nie należy także zapominać, że wspomniane ułatwienia mają równoważyć obowiązki informacyjne podmiotów profesjonalnych </w:t>
            </w:r>
            <w:r w:rsidR="00DC3F50" w:rsidRPr="00DC3F50">
              <w:rPr>
                <w:rFonts w:ascii="Times New Roman" w:hAnsi="Times New Roman" w:cs="Times New Roman"/>
                <w:sz w:val="20"/>
              </w:rPr>
              <w:lastRenderedPageBreak/>
              <w:t>związane z dostarczaniem danych do Portalu DOM.</w:t>
            </w:r>
          </w:p>
        </w:tc>
      </w:tr>
      <w:tr w:rsidR="0099084C" w:rsidRPr="00FF4480" w14:paraId="0815F3FA" w14:textId="77777777" w:rsidTr="00E9565F">
        <w:trPr>
          <w:jc w:val="center"/>
        </w:trPr>
        <w:tc>
          <w:tcPr>
            <w:tcW w:w="554" w:type="dxa"/>
          </w:tcPr>
          <w:p w14:paraId="5C6EB00B"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1D647B87" w14:textId="5A8B462D"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32E3A23E" w14:textId="0B2FD2A8"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6</w:t>
            </w:r>
          </w:p>
        </w:tc>
        <w:tc>
          <w:tcPr>
            <w:tcW w:w="5670" w:type="dxa"/>
            <w:vAlign w:val="center"/>
          </w:tcPr>
          <w:p w14:paraId="61D3E0D7" w14:textId="3BDF89F7" w:rsidR="0099084C" w:rsidRPr="00AB5F7C" w:rsidRDefault="0099084C" w:rsidP="0099084C">
            <w:pPr>
              <w:spacing w:before="120" w:after="120"/>
              <w:jc w:val="both"/>
              <w:rPr>
                <w:rFonts w:ascii="Times New Roman" w:hAnsi="Times New Roman" w:cs="Times New Roman"/>
                <w:sz w:val="20"/>
              </w:rPr>
            </w:pPr>
            <w:r w:rsidRPr="002A79BC">
              <w:rPr>
                <w:rFonts w:ascii="Times New Roman" w:hAnsi="Times New Roman" w:cs="Times New Roman"/>
                <w:sz w:val="20"/>
              </w:rPr>
              <w:t>Proponowana zmiana ustawy z dnia 1 marca 2018 r. o przeciwdziałaniu praniu pieniędzy oraz finansowaniu terroryzmu w zakresie dodania nowego przepisu art. 7a, w szczególności w zakresie punktów c, d oraz e dowodzi, że system służący walce z terroryzmem i przeciwdziałaniu praniu pieniędzy będzie wykorzystywany do prowadzenia Portalu DOM, co, zdaniem ZG SNRP, jest nadużyciem. Absurdalność nakładania na szefa KAS (i współpracujących z nim notariuszy) obowiązku gromadzenia danych wymienionych w tych punktach jest aż nadto oczywista. Pozostaje zadać twórcom projektu pytanie, w jakiż to sposób dane o liczbie pokoi, powierzchni budynku i numerze kondygnacji mają pomóc w zwalczaniu terroryzmu i prania brudnych pieniędzy?</w:t>
            </w:r>
          </w:p>
        </w:tc>
        <w:tc>
          <w:tcPr>
            <w:tcW w:w="4160" w:type="dxa"/>
          </w:tcPr>
          <w:p w14:paraId="3A15F306" w14:textId="42764BF5" w:rsidR="00AE4A03" w:rsidRPr="00AE4A03" w:rsidRDefault="00AE4A03" w:rsidP="0099084C">
            <w:pPr>
              <w:spacing w:before="120" w:after="120"/>
              <w:jc w:val="both"/>
              <w:rPr>
                <w:rFonts w:ascii="Times New Roman" w:hAnsi="Times New Roman" w:cs="Times New Roman"/>
                <w:sz w:val="20"/>
                <w:u w:val="single"/>
              </w:rPr>
            </w:pPr>
            <w:r w:rsidRPr="00AE4A03">
              <w:rPr>
                <w:rFonts w:ascii="Times New Roman" w:hAnsi="Times New Roman" w:cs="Times New Roman"/>
                <w:sz w:val="20"/>
                <w:u w:val="single"/>
              </w:rPr>
              <w:t>Komentarz do uwagi</w:t>
            </w:r>
          </w:p>
          <w:p w14:paraId="21182984" w14:textId="1FB4E2C6" w:rsidR="007F113F" w:rsidRDefault="007F113F" w:rsidP="00520F8D">
            <w:pPr>
              <w:spacing w:before="120" w:after="120"/>
              <w:jc w:val="both"/>
              <w:rPr>
                <w:rFonts w:ascii="Times New Roman" w:hAnsi="Times New Roman" w:cs="Times New Roman"/>
                <w:sz w:val="20"/>
              </w:rPr>
            </w:pPr>
            <w:r w:rsidRPr="007F113F">
              <w:rPr>
                <w:rFonts w:ascii="Times New Roman" w:hAnsi="Times New Roman" w:cs="Times New Roman"/>
                <w:sz w:val="20"/>
              </w:rPr>
              <w:t xml:space="preserve">Jak wcześniej wspomniano, rozszerzenie zakresu danych i informacji gromadzonych na gruncie zmienianych ustaw towarzyszących jest motywowane </w:t>
            </w:r>
            <w:r w:rsidR="00C67CFF">
              <w:rPr>
                <w:rFonts w:ascii="Times New Roman" w:hAnsi="Times New Roman" w:cs="Times New Roman"/>
                <w:sz w:val="20"/>
              </w:rPr>
              <w:t>w pierwszej kolejności</w:t>
            </w:r>
            <w:r w:rsidRPr="007F113F">
              <w:rPr>
                <w:rFonts w:ascii="Times New Roman" w:hAnsi="Times New Roman" w:cs="Times New Roman"/>
                <w:sz w:val="20"/>
              </w:rPr>
              <w:t xml:space="preserve"> zadaniami podmiotów, którym te dane są docelowo przekazywane.</w:t>
            </w:r>
          </w:p>
          <w:p w14:paraId="21E8251F" w14:textId="535C0703" w:rsidR="007F113F" w:rsidRPr="007F113F" w:rsidRDefault="007F113F" w:rsidP="007F113F">
            <w:pPr>
              <w:spacing w:before="120" w:after="120"/>
              <w:jc w:val="both"/>
              <w:rPr>
                <w:rFonts w:ascii="Times New Roman" w:hAnsi="Times New Roman" w:cs="Times New Roman"/>
                <w:sz w:val="20"/>
              </w:rPr>
            </w:pPr>
            <w:r w:rsidRPr="007F113F">
              <w:rPr>
                <w:rFonts w:ascii="Times New Roman" w:hAnsi="Times New Roman" w:cs="Times New Roman"/>
                <w:sz w:val="20"/>
              </w:rPr>
              <w:t>Dane i informacje pozyskiwane na gruncie przepisów o przeciwdziałaniu praniu pieniędzy oraz finansowaniu terroryzmu mają umożliwić ocenę transakcji pod kątem wartości nieruchomości, co jest głównym celem wprowadzonej regulacji i jednym z zadań Generalnego Inspektora Informacji Finansowej. Zakres rozszerzenia katalogu danych na gruncie przepisów o przeciwdziałaniu praniu pieniędzy oraz finansowaniu terroryzmu był ustalany wspólnie z pracownikami Szefa Krajowej Administracji Skarbowej na etapie prac koncepcyjnych i wyboru źródeł danych i</w:t>
            </w:r>
            <w:r>
              <w:rPr>
                <w:rFonts w:ascii="Times New Roman" w:hAnsi="Times New Roman" w:cs="Times New Roman"/>
                <w:sz w:val="20"/>
              </w:rPr>
              <w:t> </w:t>
            </w:r>
            <w:r w:rsidRPr="007F113F">
              <w:rPr>
                <w:rFonts w:ascii="Times New Roman" w:hAnsi="Times New Roman" w:cs="Times New Roman"/>
                <w:sz w:val="20"/>
              </w:rPr>
              <w:t>informacji dla Portalu. Kierowano się m.in. motywacją, by nie tworzyć nowych obowiązków informacyjnych, a zatem nie kreować nowych obciążeń dla uczestników systemu. Zasilenie Portalu DOM jest zatem w tym kontekście motywacją wtórną, w ocenie projektodawcy niegenerującą dla uczestników obrotu obowiązków informacyjnych, których uciążliwość mogłaby być kwestionowana konstytucyjnie.</w:t>
            </w:r>
          </w:p>
          <w:p w14:paraId="08D9A10B" w14:textId="6A7A1045" w:rsidR="00520F8D" w:rsidRPr="007F113F" w:rsidRDefault="007F113F" w:rsidP="00520F8D">
            <w:pPr>
              <w:spacing w:before="120" w:after="120"/>
              <w:jc w:val="both"/>
              <w:rPr>
                <w:rFonts w:ascii="Times New Roman" w:hAnsi="Times New Roman" w:cs="Times New Roman"/>
                <w:sz w:val="20"/>
              </w:rPr>
            </w:pPr>
            <w:r w:rsidRPr="007F113F">
              <w:rPr>
                <w:rFonts w:ascii="Times New Roman" w:hAnsi="Times New Roman" w:cs="Times New Roman"/>
                <w:sz w:val="20"/>
              </w:rPr>
              <w:t>Jak zauważa MF w stanowisku przedstawionym w ramach uzgodnień międzyresortowych</w:t>
            </w:r>
            <w:r w:rsidR="00520F8D" w:rsidRPr="007F113F">
              <w:rPr>
                <w:rFonts w:ascii="Times New Roman" w:hAnsi="Times New Roman" w:cs="Times New Roman"/>
                <w:sz w:val="20"/>
              </w:rPr>
              <w:t xml:space="preserve">, </w:t>
            </w:r>
            <w:r w:rsidRPr="007F113F">
              <w:rPr>
                <w:rFonts w:ascii="Times New Roman" w:hAnsi="Times New Roman" w:cs="Times New Roman"/>
                <w:sz w:val="20"/>
              </w:rPr>
              <w:t>„</w:t>
            </w:r>
            <w:r w:rsidR="00520F8D" w:rsidRPr="007F113F">
              <w:rPr>
                <w:rFonts w:ascii="Times New Roman" w:hAnsi="Times New Roman" w:cs="Times New Roman"/>
                <w:sz w:val="20"/>
              </w:rPr>
              <w:t xml:space="preserve">dane dotyczące przedmiotu transakcji ograniczone wyłącznie do adresu i miejsca jego położenia </w:t>
            </w:r>
            <w:r w:rsidR="00520F8D" w:rsidRPr="007F113F">
              <w:rPr>
                <w:rFonts w:ascii="Times New Roman" w:hAnsi="Times New Roman" w:cs="Times New Roman"/>
                <w:sz w:val="20"/>
              </w:rPr>
              <w:lastRenderedPageBreak/>
              <w:t>a</w:t>
            </w:r>
            <w:r>
              <w:rPr>
                <w:rFonts w:ascii="Times New Roman" w:hAnsi="Times New Roman" w:cs="Times New Roman"/>
                <w:sz w:val="20"/>
              </w:rPr>
              <w:t> </w:t>
            </w:r>
            <w:r w:rsidR="00520F8D" w:rsidRPr="007F113F">
              <w:rPr>
                <w:rFonts w:ascii="Times New Roman" w:hAnsi="Times New Roman" w:cs="Times New Roman"/>
                <w:sz w:val="20"/>
              </w:rPr>
              <w:t>także ceny, nie pozwalają na ocenę takiej transakcji pod kątem wartości nieruchomości. Tym samym takie ograniczanie zakresu danych nie pozwala na analizę informacji dotyczących wartości majątkowych</w:t>
            </w:r>
            <w:r w:rsidRPr="007F113F">
              <w:rPr>
                <w:rFonts w:ascii="Times New Roman" w:hAnsi="Times New Roman" w:cs="Times New Roman"/>
                <w:sz w:val="20"/>
              </w:rPr>
              <w:t xml:space="preserve">, </w:t>
            </w:r>
            <w:r w:rsidR="00520F8D" w:rsidRPr="007F113F">
              <w:rPr>
                <w:rFonts w:ascii="Times New Roman" w:hAnsi="Times New Roman" w:cs="Times New Roman"/>
                <w:sz w:val="20"/>
              </w:rPr>
              <w:t>co jest głównym celem wprowadzonej regulacji i jednym z zadań Generalnego Inspektora Informacji Finansowej. Automatyzacja przekazywania takich informacji, które są dostępne w aktach notarialnych sporządzanych przez notariuszy, przyczyni się do szybszej oceny danej transakcji i skróci czas na reakcję w przypadku podejrzenia, że transakcja ma związek z przestępstwem prania brudnych pieniędzy czy chociażby uszczupleniami podatkowymi.</w:t>
            </w:r>
          </w:p>
          <w:p w14:paraId="18657A6A" w14:textId="796C8F6E" w:rsidR="00520F8D" w:rsidRPr="00EA7F10" w:rsidRDefault="00520F8D" w:rsidP="00520F8D">
            <w:pPr>
              <w:spacing w:before="120" w:after="120"/>
              <w:jc w:val="both"/>
              <w:rPr>
                <w:rFonts w:ascii="Times New Roman" w:hAnsi="Times New Roman" w:cs="Times New Roman"/>
                <w:sz w:val="20"/>
              </w:rPr>
            </w:pPr>
            <w:r w:rsidRPr="007F113F">
              <w:rPr>
                <w:rFonts w:ascii="Times New Roman" w:hAnsi="Times New Roman" w:cs="Times New Roman"/>
                <w:sz w:val="20"/>
              </w:rPr>
              <w:t>Trudno w projektowanych przepisach doszukać się sprzeczności</w:t>
            </w:r>
            <w:r w:rsidR="007F113F">
              <w:rPr>
                <w:rFonts w:ascii="Times New Roman" w:hAnsi="Times New Roman" w:cs="Times New Roman"/>
                <w:sz w:val="20"/>
              </w:rPr>
              <w:t>,</w:t>
            </w:r>
            <w:r w:rsidRPr="007F113F">
              <w:rPr>
                <w:rFonts w:ascii="Times New Roman" w:hAnsi="Times New Roman" w:cs="Times New Roman"/>
                <w:sz w:val="20"/>
              </w:rPr>
              <w:t xml:space="preserve"> jeśli chodzi o dane, które notariusz przekazuje do systemu, ponieważ celem regulacji nie jest przekazywanie informacji, których notariusz nie posiada</w:t>
            </w:r>
            <w:r w:rsidR="007F113F">
              <w:rPr>
                <w:rFonts w:ascii="Times New Roman" w:hAnsi="Times New Roman" w:cs="Times New Roman"/>
                <w:sz w:val="20"/>
              </w:rPr>
              <w:t>,</w:t>
            </w:r>
            <w:r w:rsidRPr="007F113F">
              <w:rPr>
                <w:rFonts w:ascii="Times New Roman" w:hAnsi="Times New Roman" w:cs="Times New Roman"/>
                <w:sz w:val="20"/>
              </w:rPr>
              <w:t xml:space="preserve"> np. brak liczby pokoi w dokumentach przedstawianych notariuszowi. Chodzi wyłącznie o informacje, które są dostępne i mogą mieć znaczenie przy ocenie wartości danej nieruchomości</w:t>
            </w:r>
            <w:r w:rsidR="007F113F" w:rsidRPr="007F113F">
              <w:rPr>
                <w:rFonts w:ascii="Times New Roman" w:hAnsi="Times New Roman" w:cs="Times New Roman"/>
                <w:sz w:val="20"/>
              </w:rPr>
              <w:t>”.</w:t>
            </w:r>
          </w:p>
        </w:tc>
      </w:tr>
      <w:tr w:rsidR="0099084C" w:rsidRPr="00FF4480" w14:paraId="7B58AF0A" w14:textId="77777777" w:rsidTr="00E9565F">
        <w:trPr>
          <w:jc w:val="center"/>
        </w:trPr>
        <w:tc>
          <w:tcPr>
            <w:tcW w:w="554" w:type="dxa"/>
          </w:tcPr>
          <w:p w14:paraId="5748BFF5"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1CF8F50C" w14:textId="2F4B5FB1"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15DD808A" w14:textId="79A2D606"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6</w:t>
            </w:r>
          </w:p>
        </w:tc>
        <w:tc>
          <w:tcPr>
            <w:tcW w:w="5670" w:type="dxa"/>
            <w:vAlign w:val="center"/>
          </w:tcPr>
          <w:p w14:paraId="6D98E3EE" w14:textId="4B9D08A5" w:rsidR="0099084C" w:rsidRPr="002A79BC" w:rsidRDefault="0099084C" w:rsidP="0099084C">
            <w:pPr>
              <w:spacing w:before="120" w:after="120"/>
              <w:jc w:val="both"/>
              <w:rPr>
                <w:rFonts w:ascii="Times New Roman" w:hAnsi="Times New Roman" w:cs="Times New Roman"/>
                <w:sz w:val="20"/>
              </w:rPr>
            </w:pPr>
            <w:r w:rsidRPr="002A79BC">
              <w:rPr>
                <w:rFonts w:ascii="Times New Roman" w:hAnsi="Times New Roman" w:cs="Times New Roman"/>
                <w:sz w:val="20"/>
              </w:rPr>
              <w:t xml:space="preserve">Projektodawca prawdopodobnie nie jest świadomy, iż informacje umieszczone w pkt c) i d), w przypadku obrotu na rynku wtórnym budynków, w lwiej części przypadków odbywać się będzie na podstawie oświadczeń stron umowy, gdyż dane geodezyjne (dane umieszczone w wypisach z rejestru gruntów/kartoteki budynków) w tym zakresie, co do „starszego” budownictwa, najczęściej zawierają wyłącznie informację o szacunkowej powierzchni zabudowy, a nie powierzchni użytkowej i nie zawierają informacji o liczbie pomieszczeń w budynku. A zatem dane wprowadzone do Portalu DOM mogą okazać się nieprecyzyjne, nieprawdziwe lub szacunkowe, gdyż nie ma żadnego mechanizmu „przymuszającego” zbywcę do aktualizacji danych dot. budynku w ewidencji gruntów (aby przedstawiony notariuszowi dokument geodezyjny zawierał dane precyzyjne) albo przymuszające zbywcę do okazania </w:t>
            </w:r>
            <w:r w:rsidRPr="002A79BC">
              <w:rPr>
                <w:rFonts w:ascii="Times New Roman" w:hAnsi="Times New Roman" w:cs="Times New Roman"/>
                <w:sz w:val="20"/>
              </w:rPr>
              <w:lastRenderedPageBreak/>
              <w:t>dokumentów budowalnych notariuszowi przy zawieraniu umowy zbycia nieruchomości.</w:t>
            </w:r>
          </w:p>
        </w:tc>
        <w:tc>
          <w:tcPr>
            <w:tcW w:w="4160" w:type="dxa"/>
          </w:tcPr>
          <w:p w14:paraId="33FB6794" w14:textId="77777777" w:rsidR="0099084C" w:rsidRPr="00DC3F50" w:rsidRDefault="00DC3F50" w:rsidP="0099084C">
            <w:pPr>
              <w:spacing w:before="120" w:after="120"/>
              <w:jc w:val="both"/>
              <w:rPr>
                <w:rFonts w:ascii="Times New Roman" w:hAnsi="Times New Roman" w:cs="Times New Roman"/>
                <w:sz w:val="20"/>
                <w:u w:val="single"/>
              </w:rPr>
            </w:pPr>
            <w:r w:rsidRPr="00DC3F50">
              <w:rPr>
                <w:rFonts w:ascii="Times New Roman" w:hAnsi="Times New Roman" w:cs="Times New Roman"/>
                <w:sz w:val="20"/>
                <w:u w:val="single"/>
              </w:rPr>
              <w:lastRenderedPageBreak/>
              <w:t>Komentarz do uwagi</w:t>
            </w:r>
          </w:p>
          <w:p w14:paraId="1D6D0B56" w14:textId="46863A47" w:rsidR="00DC3F50" w:rsidRPr="00EA7F10" w:rsidRDefault="00CE5251" w:rsidP="0099084C">
            <w:pPr>
              <w:spacing w:before="120" w:after="120"/>
              <w:jc w:val="both"/>
              <w:rPr>
                <w:rFonts w:ascii="Times New Roman" w:hAnsi="Times New Roman" w:cs="Times New Roman"/>
                <w:sz w:val="20"/>
              </w:rPr>
            </w:pPr>
            <w:r>
              <w:rPr>
                <w:rFonts w:ascii="Times New Roman" w:hAnsi="Times New Roman" w:cs="Times New Roman"/>
                <w:sz w:val="20"/>
              </w:rPr>
              <w:t>W takich przypadkach</w:t>
            </w:r>
            <w:r w:rsidR="001D2F00">
              <w:rPr>
                <w:rFonts w:ascii="Times New Roman" w:hAnsi="Times New Roman" w:cs="Times New Roman"/>
                <w:sz w:val="20"/>
              </w:rPr>
              <w:t xml:space="preserve"> – dla celów działania Portalu –</w:t>
            </w:r>
            <w:r>
              <w:rPr>
                <w:rFonts w:ascii="Times New Roman" w:hAnsi="Times New Roman" w:cs="Times New Roman"/>
                <w:sz w:val="20"/>
              </w:rPr>
              <w:t xml:space="preserve"> oświadczenie strony, w ocenie projektodawcy, będzie wystarczające.</w:t>
            </w:r>
          </w:p>
        </w:tc>
      </w:tr>
      <w:tr w:rsidR="0099084C" w:rsidRPr="00FF4480" w14:paraId="4759ACA1" w14:textId="77777777" w:rsidTr="00E9565F">
        <w:trPr>
          <w:jc w:val="center"/>
        </w:trPr>
        <w:tc>
          <w:tcPr>
            <w:tcW w:w="554" w:type="dxa"/>
          </w:tcPr>
          <w:p w14:paraId="51C1A20F"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0C72FF94" w14:textId="25C89F74" w:rsidR="0099084C" w:rsidRPr="00247963"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32C39A59" w14:textId="1C99F6E4"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6</w:t>
            </w:r>
          </w:p>
        </w:tc>
        <w:tc>
          <w:tcPr>
            <w:tcW w:w="5670" w:type="dxa"/>
            <w:vAlign w:val="center"/>
          </w:tcPr>
          <w:p w14:paraId="15050A0C" w14:textId="3D9710F1" w:rsidR="0099084C" w:rsidRPr="002A79BC" w:rsidRDefault="0099084C" w:rsidP="0099084C">
            <w:pPr>
              <w:spacing w:before="120" w:after="120"/>
              <w:jc w:val="both"/>
              <w:rPr>
                <w:rFonts w:ascii="Times New Roman" w:hAnsi="Times New Roman" w:cs="Times New Roman"/>
                <w:sz w:val="20"/>
              </w:rPr>
            </w:pPr>
            <w:r w:rsidRPr="002A79BC">
              <w:rPr>
                <w:rFonts w:ascii="Times New Roman" w:hAnsi="Times New Roman" w:cs="Times New Roman"/>
                <w:sz w:val="20"/>
              </w:rPr>
              <w:t>Projekt „tylnymi drzwiami”, to jest poprzez rozszerzenie danych przekazywanych przez notariusza do GIIF – nakłada na notariusza nowe obowiązki, które nie wynikają z obowiązku analizy i raportowania czynności. Kolejny już raz ustawodawca przerzuca na przedsiębiorcę, jakim jest notariusz, obowiązki, które powinni wykonywać sami urzędnicy, którzy z tych</w:t>
            </w:r>
            <w:r>
              <w:rPr>
                <w:rFonts w:ascii="Times New Roman" w:hAnsi="Times New Roman" w:cs="Times New Roman"/>
                <w:sz w:val="20"/>
              </w:rPr>
              <w:t xml:space="preserve"> </w:t>
            </w:r>
            <w:r w:rsidRPr="002A79BC">
              <w:rPr>
                <w:rFonts w:ascii="Times New Roman" w:hAnsi="Times New Roman" w:cs="Times New Roman"/>
                <w:sz w:val="20"/>
              </w:rPr>
              <w:t>danych będą w przewarzającej większości przypadków korzystać, w przeciwieństwie do notariusza. Projektodawca nie dokonał przy tym właściwej oceny kosztów przedsiębiorcy wprowadzając nowe praw, a które ponosić będzie notariusz (przedsiębiorca) przy realizacji tych nowych obowiązków. W przeciwieństwie do innych podmiotów zobowiązanych do przekazywania danych, którzy koszty nowych obowiązków będą mogli kalkulować korektą ceny, wynagrodzenie notariusza jest regulowane odgórnie przez prawodawcę, a jak zaznaczono w dalszych uwagach (do uzasadnienia) źródło pokrycia kosztów zwiększonych obowiązków jest delikatnie rzecz ujmując wątpliwe i niewystarczające.</w:t>
            </w:r>
          </w:p>
        </w:tc>
        <w:tc>
          <w:tcPr>
            <w:tcW w:w="4160" w:type="dxa"/>
          </w:tcPr>
          <w:p w14:paraId="15DC12E0" w14:textId="765F00F8" w:rsidR="007F113F" w:rsidRPr="00601793" w:rsidRDefault="007F113F" w:rsidP="0099084C">
            <w:pPr>
              <w:spacing w:before="120" w:after="120"/>
              <w:jc w:val="both"/>
              <w:rPr>
                <w:rFonts w:ascii="Times New Roman" w:hAnsi="Times New Roman" w:cs="Times New Roman"/>
                <w:sz w:val="20"/>
                <w:u w:val="single"/>
              </w:rPr>
            </w:pPr>
            <w:r w:rsidRPr="00AE4A03">
              <w:rPr>
                <w:rFonts w:ascii="Times New Roman" w:hAnsi="Times New Roman" w:cs="Times New Roman"/>
                <w:sz w:val="20"/>
                <w:u w:val="single"/>
              </w:rPr>
              <w:t>Komentarz do uwagi</w:t>
            </w:r>
          </w:p>
          <w:p w14:paraId="2F7F5C98" w14:textId="518F741F" w:rsidR="00520F8D" w:rsidRPr="00601793" w:rsidRDefault="00520F8D" w:rsidP="00520F8D">
            <w:pPr>
              <w:spacing w:before="120" w:after="120"/>
              <w:jc w:val="both"/>
              <w:rPr>
                <w:rFonts w:ascii="Times New Roman" w:hAnsi="Times New Roman" w:cs="Times New Roman"/>
                <w:sz w:val="20"/>
              </w:rPr>
            </w:pPr>
            <w:r w:rsidRPr="00601793">
              <w:rPr>
                <w:rFonts w:ascii="Times New Roman" w:hAnsi="Times New Roman" w:cs="Times New Roman"/>
                <w:sz w:val="20"/>
              </w:rPr>
              <w:t>Projektowane przepisy przewidują możliwość wprowadzania do istniejącego systemu danych chrakteryzujących daną nieruchomość. Potrzeba uzupełnienia informacji wynika</w:t>
            </w:r>
            <w:r w:rsidR="00601793">
              <w:rPr>
                <w:rFonts w:ascii="Times New Roman" w:hAnsi="Times New Roman" w:cs="Times New Roman"/>
                <w:sz w:val="20"/>
              </w:rPr>
              <w:t xml:space="preserve">, jak podkreśla </w:t>
            </w:r>
            <w:r w:rsidR="00601793" w:rsidRPr="00601793">
              <w:rPr>
                <w:rFonts w:ascii="Times New Roman" w:hAnsi="Times New Roman" w:cs="Times New Roman"/>
                <w:sz w:val="20"/>
              </w:rPr>
              <w:t>MF w swoim stanowisku,</w:t>
            </w:r>
            <w:r w:rsidRPr="00601793">
              <w:rPr>
                <w:rFonts w:ascii="Times New Roman" w:hAnsi="Times New Roman" w:cs="Times New Roman"/>
                <w:sz w:val="20"/>
              </w:rPr>
              <w:t xml:space="preserve"> </w:t>
            </w:r>
            <w:r w:rsidR="00601793" w:rsidRPr="00601793">
              <w:rPr>
                <w:rFonts w:ascii="Times New Roman" w:hAnsi="Times New Roman" w:cs="Times New Roman"/>
                <w:sz w:val="20"/>
              </w:rPr>
              <w:t>„</w:t>
            </w:r>
            <w:r w:rsidRPr="00601793">
              <w:rPr>
                <w:rFonts w:ascii="Times New Roman" w:hAnsi="Times New Roman" w:cs="Times New Roman"/>
                <w:sz w:val="20"/>
              </w:rPr>
              <w:t>z konieczności dokonywania oceny wartości nieruchomości.</w:t>
            </w:r>
          </w:p>
          <w:p w14:paraId="441003FE" w14:textId="69B0E050" w:rsidR="00520F8D" w:rsidRPr="00601793" w:rsidRDefault="00520F8D" w:rsidP="00520F8D">
            <w:pPr>
              <w:spacing w:before="120" w:after="120"/>
              <w:jc w:val="both"/>
              <w:rPr>
                <w:rFonts w:ascii="Times New Roman" w:hAnsi="Times New Roman" w:cs="Times New Roman"/>
                <w:sz w:val="20"/>
              </w:rPr>
            </w:pPr>
            <w:r w:rsidRPr="00601793">
              <w:rPr>
                <w:rFonts w:ascii="Times New Roman" w:hAnsi="Times New Roman" w:cs="Times New Roman"/>
                <w:sz w:val="20"/>
              </w:rPr>
              <w:t>Jednak zdaniem Ministerstwa Finansów za nieuprawnione należy uznać twierdzenie, że na notariuszy przerzucane są obowiązki, które powinni wykonywać sami urzędnicy, którzy z</w:t>
            </w:r>
            <w:r w:rsidR="00601793">
              <w:rPr>
                <w:rFonts w:ascii="Times New Roman" w:hAnsi="Times New Roman" w:cs="Times New Roman"/>
                <w:sz w:val="20"/>
              </w:rPr>
              <w:t> </w:t>
            </w:r>
            <w:r w:rsidRPr="00601793">
              <w:rPr>
                <w:rFonts w:ascii="Times New Roman" w:hAnsi="Times New Roman" w:cs="Times New Roman"/>
                <w:sz w:val="20"/>
              </w:rPr>
              <w:t>tych danych będą korzystać. Trzeba bowiem zauważyć, że w przypadku stwierdzenia nieprawidłowości w zakresie podatków urzędnicy prowadzą postępowania wyjaśniające lub podatkowe.</w:t>
            </w:r>
            <w:r w:rsidR="00601793" w:rsidRPr="00601793">
              <w:rPr>
                <w:rFonts w:ascii="Times New Roman" w:hAnsi="Times New Roman" w:cs="Times New Roman"/>
                <w:sz w:val="20"/>
              </w:rPr>
              <w:t>”.</w:t>
            </w:r>
          </w:p>
          <w:p w14:paraId="7D5F2D4C" w14:textId="59A7DF33" w:rsidR="00DC3F50" w:rsidRPr="00EA7F10" w:rsidRDefault="00DC3F50" w:rsidP="0099084C">
            <w:pPr>
              <w:spacing w:before="120" w:after="120"/>
              <w:jc w:val="both"/>
              <w:rPr>
                <w:rFonts w:ascii="Times New Roman" w:hAnsi="Times New Roman" w:cs="Times New Roman"/>
                <w:sz w:val="20"/>
              </w:rPr>
            </w:pPr>
            <w:r w:rsidRPr="00601793">
              <w:rPr>
                <w:rFonts w:ascii="Times New Roman" w:hAnsi="Times New Roman" w:cs="Times New Roman"/>
                <w:sz w:val="20"/>
              </w:rPr>
              <w:t xml:space="preserve">Należy ponadto przypomnieć, że notariusz występuje w obrocie prawnym w pierwszej kolejności nie jako przedsiębiorca, ale jako </w:t>
            </w:r>
            <w:r w:rsidR="0084014B" w:rsidRPr="00601793">
              <w:rPr>
                <w:rFonts w:ascii="Times New Roman" w:hAnsi="Times New Roman" w:cs="Times New Roman"/>
                <w:sz w:val="20"/>
              </w:rPr>
              <w:t xml:space="preserve">osoba zaufania publicznego, mająca konkretne obowiązki </w:t>
            </w:r>
            <w:r w:rsidR="008835C8">
              <w:rPr>
                <w:rFonts w:ascii="Times New Roman" w:hAnsi="Times New Roman" w:cs="Times New Roman"/>
                <w:sz w:val="20"/>
              </w:rPr>
              <w:t xml:space="preserve">(ale też przywileje) </w:t>
            </w:r>
            <w:r w:rsidR="0084014B" w:rsidRPr="00601793">
              <w:rPr>
                <w:rFonts w:ascii="Times New Roman" w:hAnsi="Times New Roman" w:cs="Times New Roman"/>
                <w:sz w:val="20"/>
              </w:rPr>
              <w:t>w sferze służby państwu.</w:t>
            </w:r>
          </w:p>
        </w:tc>
      </w:tr>
      <w:tr w:rsidR="0099084C" w:rsidRPr="00FF4480" w14:paraId="275CA208" w14:textId="77777777" w:rsidTr="00E9565F">
        <w:trPr>
          <w:jc w:val="center"/>
        </w:trPr>
        <w:tc>
          <w:tcPr>
            <w:tcW w:w="554" w:type="dxa"/>
          </w:tcPr>
          <w:p w14:paraId="11E32123"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517AED9E" w14:textId="0DF630ED" w:rsidR="0099084C" w:rsidRPr="00247963" w:rsidRDefault="0099084C" w:rsidP="0099084C">
            <w:pPr>
              <w:spacing w:before="120" w:after="120"/>
              <w:rPr>
                <w:rFonts w:ascii="Times New Roman" w:hAnsi="Times New Roman" w:cs="Times New Roman"/>
                <w:sz w:val="20"/>
              </w:rPr>
            </w:pPr>
            <w:r w:rsidRPr="00473F79">
              <w:rPr>
                <w:rFonts w:ascii="Times New Roman" w:hAnsi="Times New Roman" w:cs="Times New Roman"/>
                <w:sz w:val="20"/>
              </w:rPr>
              <w:t>Polska Federacja Stowarzyszeń Rzeczoznawców Majątkowych</w:t>
            </w:r>
          </w:p>
        </w:tc>
        <w:tc>
          <w:tcPr>
            <w:tcW w:w="1905" w:type="dxa"/>
            <w:vAlign w:val="center"/>
          </w:tcPr>
          <w:p w14:paraId="73FA9F30" w14:textId="4085A833"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6</w:t>
            </w:r>
          </w:p>
        </w:tc>
        <w:tc>
          <w:tcPr>
            <w:tcW w:w="5670" w:type="dxa"/>
            <w:vAlign w:val="center"/>
          </w:tcPr>
          <w:p w14:paraId="11CF17E2"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Proponujemy zmianę projektowanych zapisów w art. 72 ust. 6 pkt 7a pkt c ustawy o przeciwdziałaniu praniu pieniędzy oraz finansowaniu terroryzmu.</w:t>
            </w:r>
          </w:p>
          <w:p w14:paraId="50D3FF75" w14:textId="77777777" w:rsidR="0099084C" w:rsidRPr="00C66803" w:rsidRDefault="0099084C" w:rsidP="0099084C">
            <w:pPr>
              <w:spacing w:before="120" w:after="120"/>
              <w:jc w:val="both"/>
              <w:rPr>
                <w:rFonts w:ascii="Times New Roman" w:hAnsi="Times New Roman" w:cs="Times New Roman"/>
                <w:sz w:val="20"/>
              </w:rPr>
            </w:pPr>
          </w:p>
          <w:p w14:paraId="6FFC1AD8"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W miejsce zapisów zawartych w projekcie:</w:t>
            </w:r>
          </w:p>
          <w:p w14:paraId="359ECD86"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b) powierzchnię użytkową lokalu mieszkalnego albo domu jednorodzinnego,</w:t>
            </w:r>
          </w:p>
          <w:p w14:paraId="283F6DAA" w14:textId="77777777" w:rsidR="0099084C" w:rsidRPr="00C66803" w:rsidRDefault="0099084C" w:rsidP="0099084C">
            <w:pPr>
              <w:spacing w:before="120" w:after="120"/>
              <w:jc w:val="both"/>
              <w:rPr>
                <w:rFonts w:ascii="Times New Roman" w:hAnsi="Times New Roman" w:cs="Times New Roman"/>
                <w:sz w:val="20"/>
              </w:rPr>
            </w:pPr>
          </w:p>
          <w:p w14:paraId="245EE063"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lastRenderedPageBreak/>
              <w:t>Proponujemy:</w:t>
            </w:r>
          </w:p>
          <w:p w14:paraId="66D2F055"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b) powierzchnię użytkową lokalu albo budynku,</w:t>
            </w:r>
          </w:p>
          <w:p w14:paraId="455AD9D3" w14:textId="77777777" w:rsidR="0099084C" w:rsidRPr="00C66803" w:rsidRDefault="0099084C" w:rsidP="0099084C">
            <w:pPr>
              <w:spacing w:before="120" w:after="120"/>
              <w:jc w:val="both"/>
              <w:rPr>
                <w:rFonts w:ascii="Times New Roman" w:hAnsi="Times New Roman" w:cs="Times New Roman"/>
                <w:sz w:val="20"/>
              </w:rPr>
            </w:pPr>
          </w:p>
          <w:p w14:paraId="4963518A" w14:textId="77777777" w:rsidR="0099084C" w:rsidRPr="00C66803"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Uzasadnienie naszej propozycji:</w:t>
            </w:r>
          </w:p>
          <w:p w14:paraId="70B9D7A4" w14:textId="023BE577" w:rsidR="0099084C" w:rsidRPr="002A79BC" w:rsidRDefault="0099084C" w:rsidP="0099084C">
            <w:pPr>
              <w:spacing w:before="120" w:after="120"/>
              <w:jc w:val="both"/>
              <w:rPr>
                <w:rFonts w:ascii="Times New Roman" w:hAnsi="Times New Roman" w:cs="Times New Roman"/>
                <w:sz w:val="20"/>
              </w:rPr>
            </w:pPr>
            <w:r w:rsidRPr="00C66803">
              <w:rPr>
                <w:rFonts w:ascii="Times New Roman" w:hAnsi="Times New Roman" w:cs="Times New Roman"/>
                <w:sz w:val="20"/>
              </w:rPr>
              <w:t xml:space="preserve">Wprowadzenie proponowanego przez nas rozwiązania, przy okazji poprawienia jakości i zwiększenia zakresu gromadzonych danych i informacji na potrzeby funkcjonowania Portalu DOM, co jak rozumiemy jest celem modyfikacji zapisów w art. 72 ust. 6 pkt 7a ustawy o przeciwdziałaniu (...), jednocześnie spowoduje poprawę jakości i zwiększenie zakresu danych zawieranych w aktach notarialnych (jeżeli te informacje będą przekazywane Generalnemu Inspektorowi, to prawdopodobnie znajdą się również w treści aktu notarialnego jako np. oświadczenie strony umowy), bez względu na to, czy dokumentują przenoszenie praw do nieruchomości "mieszkaniowych", czy też nieruchomości o charakterze "innym niż mieszkaniowy". Przypominamy, że powierzchnie użytkowe budynków nie stanowią już danych ewidencyjnych budynków (były danymi ewidencyjnymi do 2021 roku, ale zostały "wykreślone" z tego zakresu przy okazji zmian w rozporządzeniu Ministra Rozwoju, Pracy i Technologii w sprawie ewidencji gruntów i budynków), a tym samym nie ma obecnie dostępnych publicznych rejestrów zawierających te informacje. Wprowadzenie do ustawy o przeciwdziałaniu (...) zaproponowanego przez nas rozwiązania będzie zapewne skutkowało zawieraniem danych o powierzchniach budynków (wszystkich budynków, a nie tylko domów jednorodzinnych) w treści aktów notarialnych - umowach sprzedaży. Zapewni to większą przejrzystość danych transakcyjnych związanych z przenoszeniem praw do nieruchomości (powierzchnia użytkowa budynku najczęściej jest istotnym elementem wpływającą na ceny transakcyjne nieruchomości zabudowanych), a jak rozumiemy przejrzystość danych rynkowych związanych z obrotem nieruchomości może służyć zarówno celom ustawy o przeciwdziałaniu (...), ale także celom fiskalnym lub innym celom publicznym. Jednocześnie, niejako przy okazji, stworzy rzeczoznawcom majątkowym źródło (akty notarialne) pozyskiwania tych danych, które nie są dostępne w publicznych rejestrach (we wspomnianych powyżej danych ewidencyjnych bardzo często dane </w:t>
            </w:r>
            <w:r w:rsidRPr="00C66803">
              <w:rPr>
                <w:rFonts w:ascii="Times New Roman" w:hAnsi="Times New Roman" w:cs="Times New Roman"/>
                <w:sz w:val="20"/>
              </w:rPr>
              <w:lastRenderedPageBreak/>
              <w:t>i tak nie były wprowadzane). Liczymy, że prowadzone przez projektodawcę prace nad analizowanym projektem ustawy zobrazowały problemy z zebraniem wiarygodnych i możliwie pełnych danych dotyczących nieruchomości, nawet w sytuacji, gdy dane te są potrzebne instytucjom państwowym. Niejako na marginesie, chcieliśmy zauważyć, że jeżeli prawodawca nakłada na rzeczoznawców majątkowych obowiązek uwzględniania w procesie wyceny szeregu danych dotyczących nieruchomości będących przedmiotem obrotu, to jednocześnie powinien zapewnić możliwości ich pozyskiwania. Zaproponowane przez nas rozwiązanie może przyczynić się do stworzenia jednego z takich narzędzi.</w:t>
            </w:r>
          </w:p>
        </w:tc>
        <w:tc>
          <w:tcPr>
            <w:tcW w:w="4160" w:type="dxa"/>
          </w:tcPr>
          <w:p w14:paraId="0BDFD117" w14:textId="77777777" w:rsidR="0099084C" w:rsidRPr="0084014B" w:rsidRDefault="0084014B" w:rsidP="0099084C">
            <w:pPr>
              <w:spacing w:before="120" w:after="120"/>
              <w:jc w:val="both"/>
              <w:rPr>
                <w:rFonts w:ascii="Times New Roman" w:hAnsi="Times New Roman" w:cs="Times New Roman"/>
                <w:b/>
                <w:bCs/>
                <w:sz w:val="20"/>
              </w:rPr>
            </w:pPr>
            <w:r w:rsidRPr="0084014B">
              <w:rPr>
                <w:rFonts w:ascii="Times New Roman" w:hAnsi="Times New Roman" w:cs="Times New Roman"/>
                <w:b/>
                <w:bCs/>
                <w:sz w:val="20"/>
              </w:rPr>
              <w:lastRenderedPageBreak/>
              <w:t>Uwaga nieuwzględniona</w:t>
            </w:r>
          </w:p>
          <w:p w14:paraId="24929B4D" w14:textId="5134333F" w:rsidR="0084014B" w:rsidRPr="00EA7F10" w:rsidRDefault="00AF2F35" w:rsidP="0099084C">
            <w:pPr>
              <w:spacing w:before="120" w:after="120"/>
              <w:jc w:val="both"/>
              <w:rPr>
                <w:rFonts w:ascii="Times New Roman" w:hAnsi="Times New Roman" w:cs="Times New Roman"/>
                <w:sz w:val="20"/>
              </w:rPr>
            </w:pPr>
            <w:r w:rsidRPr="00AF2F35">
              <w:rPr>
                <w:rFonts w:ascii="Times New Roman" w:hAnsi="Times New Roman" w:cs="Times New Roman"/>
                <w:sz w:val="20"/>
              </w:rPr>
              <w:t>Proponowan</w:t>
            </w:r>
            <w:r>
              <w:rPr>
                <w:rFonts w:ascii="Times New Roman" w:hAnsi="Times New Roman" w:cs="Times New Roman"/>
                <w:sz w:val="20"/>
              </w:rPr>
              <w:t>a</w:t>
            </w:r>
            <w:r w:rsidRPr="00AF2F35">
              <w:rPr>
                <w:rFonts w:ascii="Times New Roman" w:hAnsi="Times New Roman" w:cs="Times New Roman"/>
                <w:sz w:val="20"/>
              </w:rPr>
              <w:t xml:space="preserve"> modyfikacj</w:t>
            </w:r>
            <w:r>
              <w:rPr>
                <w:rFonts w:ascii="Times New Roman" w:hAnsi="Times New Roman" w:cs="Times New Roman"/>
                <w:sz w:val="20"/>
              </w:rPr>
              <w:t>a</w:t>
            </w:r>
            <w:r w:rsidRPr="00AF2F35">
              <w:rPr>
                <w:rFonts w:ascii="Times New Roman" w:hAnsi="Times New Roman" w:cs="Times New Roman"/>
                <w:sz w:val="20"/>
              </w:rPr>
              <w:t xml:space="preserve"> wykracza poza zakres przedmiotowy projektu. </w:t>
            </w:r>
            <w:r w:rsidR="00D335F9">
              <w:rPr>
                <w:rFonts w:ascii="Times New Roman" w:hAnsi="Times New Roman" w:cs="Times New Roman"/>
                <w:sz w:val="20"/>
              </w:rPr>
              <w:t xml:space="preserve">Potrzeby takiej zmiany nie zgłosiły również organy, których zadań nowelizacja dotyczy. </w:t>
            </w:r>
            <w:r w:rsidRPr="00AF2F35">
              <w:rPr>
                <w:rFonts w:ascii="Times New Roman" w:hAnsi="Times New Roman" w:cs="Times New Roman"/>
                <w:sz w:val="20"/>
              </w:rPr>
              <w:t xml:space="preserve">Zmiany w przywołanej ustawie odnoszą się do nieruchomości mieszkaniowych. Mają umożliwić pozyskiwanie dodatkowych danych dotyczących transakcji mieszkaniowych </w:t>
            </w:r>
            <w:r w:rsidR="00642529">
              <w:rPr>
                <w:rFonts w:ascii="Times New Roman" w:hAnsi="Times New Roman" w:cs="Times New Roman"/>
                <w:sz w:val="20"/>
              </w:rPr>
              <w:t>w celu oceny wartości tych transakcji</w:t>
            </w:r>
            <w:r w:rsidRPr="00642529">
              <w:rPr>
                <w:rFonts w:ascii="Times New Roman" w:hAnsi="Times New Roman" w:cs="Times New Roman"/>
                <w:sz w:val="20"/>
                <w:szCs w:val="20"/>
              </w:rPr>
              <w:t xml:space="preserve">. Jednocześnie, choć zasilenie Portalu DOM jest w tym kontekście motywacją wtórną, </w:t>
            </w:r>
            <w:r w:rsidRPr="00642529">
              <w:rPr>
                <w:rFonts w:ascii="Times New Roman" w:hAnsi="Times New Roman" w:cs="Times New Roman"/>
                <w:sz w:val="20"/>
                <w:szCs w:val="20"/>
              </w:rPr>
              <w:lastRenderedPageBreak/>
              <w:t>będ</w:t>
            </w:r>
            <w:r w:rsidR="00642529">
              <w:rPr>
                <w:rFonts w:ascii="Times New Roman" w:hAnsi="Times New Roman" w:cs="Times New Roman"/>
                <w:sz w:val="20"/>
                <w:szCs w:val="20"/>
              </w:rPr>
              <w:t>ą</w:t>
            </w:r>
            <w:r w:rsidRPr="00642529">
              <w:rPr>
                <w:rFonts w:ascii="Times New Roman" w:hAnsi="Times New Roman" w:cs="Times New Roman"/>
                <w:sz w:val="20"/>
                <w:szCs w:val="20"/>
              </w:rPr>
              <w:t xml:space="preserve"> gwarantować wiarygodne i bieżące dane na</w:t>
            </w:r>
            <w:r w:rsidR="00642529">
              <w:rPr>
                <w:rFonts w:ascii="Times New Roman" w:hAnsi="Times New Roman" w:cs="Times New Roman"/>
                <w:sz w:val="20"/>
                <w:szCs w:val="20"/>
              </w:rPr>
              <w:t> </w:t>
            </w:r>
            <w:r w:rsidRPr="00642529">
              <w:rPr>
                <w:rFonts w:ascii="Times New Roman" w:hAnsi="Times New Roman" w:cs="Times New Roman"/>
                <w:sz w:val="20"/>
                <w:szCs w:val="20"/>
              </w:rPr>
              <w:t>potrzeby portalu, w którym prezentowane mają być statystyki dotyczące transakcji mieszkaniowych</w:t>
            </w:r>
            <w:r w:rsidRPr="00AF2F35">
              <w:rPr>
                <w:rFonts w:ascii="Times New Roman" w:hAnsi="Times New Roman" w:cs="Times New Roman"/>
                <w:sz w:val="20"/>
              </w:rPr>
              <w:t>.</w:t>
            </w:r>
          </w:p>
        </w:tc>
      </w:tr>
      <w:tr w:rsidR="0099084C" w:rsidRPr="00FF4480" w14:paraId="1C885EC7" w14:textId="77777777" w:rsidTr="00E9565F">
        <w:trPr>
          <w:jc w:val="center"/>
        </w:trPr>
        <w:tc>
          <w:tcPr>
            <w:tcW w:w="554" w:type="dxa"/>
          </w:tcPr>
          <w:p w14:paraId="4FF5DF79" w14:textId="77777777" w:rsidR="0099084C" w:rsidRPr="00FF4480" w:rsidRDefault="0099084C" w:rsidP="0099084C">
            <w:pPr>
              <w:pStyle w:val="Akapitzlist"/>
              <w:numPr>
                <w:ilvl w:val="0"/>
                <w:numId w:val="10"/>
              </w:numPr>
              <w:spacing w:before="120"/>
              <w:ind w:left="36" w:right="-534" w:firstLine="0"/>
              <w:jc w:val="center"/>
              <w:rPr>
                <w:rFonts w:ascii="Times New Roman" w:hAnsi="Times New Roman" w:cs="Times New Roman"/>
                <w:b/>
                <w:sz w:val="20"/>
              </w:rPr>
            </w:pPr>
          </w:p>
        </w:tc>
        <w:tc>
          <w:tcPr>
            <w:tcW w:w="1931" w:type="dxa"/>
            <w:vAlign w:val="center"/>
          </w:tcPr>
          <w:p w14:paraId="268AF834" w14:textId="07C2073B" w:rsidR="0099084C" w:rsidRPr="00473F79" w:rsidRDefault="0099084C" w:rsidP="0099084C">
            <w:pPr>
              <w:spacing w:before="120" w:after="120"/>
              <w:rPr>
                <w:rFonts w:ascii="Times New Roman" w:hAnsi="Times New Roman" w:cs="Times New Roman"/>
                <w:sz w:val="20"/>
              </w:rPr>
            </w:pPr>
            <w:r w:rsidRPr="003445A4">
              <w:rPr>
                <w:rFonts w:ascii="Times New Roman" w:hAnsi="Times New Roman" w:cs="Times New Roman"/>
                <w:sz w:val="20"/>
              </w:rPr>
              <w:t>Związek Banków Polskich</w:t>
            </w:r>
          </w:p>
        </w:tc>
        <w:tc>
          <w:tcPr>
            <w:tcW w:w="1905" w:type="dxa"/>
            <w:vAlign w:val="center"/>
          </w:tcPr>
          <w:p w14:paraId="3C60B52A" w14:textId="51C0F00F"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Art. 6</w:t>
            </w:r>
          </w:p>
        </w:tc>
        <w:tc>
          <w:tcPr>
            <w:tcW w:w="5670" w:type="dxa"/>
            <w:vAlign w:val="center"/>
          </w:tcPr>
          <w:p w14:paraId="6512D0AA" w14:textId="58E0B647" w:rsidR="0099084C" w:rsidRPr="00C66803" w:rsidRDefault="0099084C" w:rsidP="0099084C">
            <w:pPr>
              <w:spacing w:before="120" w:after="120"/>
              <w:jc w:val="both"/>
              <w:rPr>
                <w:rFonts w:ascii="Times New Roman" w:hAnsi="Times New Roman" w:cs="Times New Roman"/>
                <w:sz w:val="20"/>
              </w:rPr>
            </w:pPr>
            <w:r w:rsidRPr="003445A4">
              <w:rPr>
                <w:rFonts w:ascii="Times New Roman" w:hAnsi="Times New Roman" w:cs="Times New Roman"/>
                <w:sz w:val="20"/>
              </w:rPr>
              <w:t>- lit d) o treści „liczbę pokoi w lokalu mieszkalnym albo domu jednorodzinnym” zmiana na „liczba, rodzaj i powierzchnia pomieszczeń w lokalu mieszkalnym albo domu jednorodzinnym objętym umową, w przypadku lokalu mieszkalnego – także liczba i powierzchnia pomieszczeń przynależnych oraz zakres uprawnień nabywcy lokalu wynikający zawartej umowy o podziale quad usum nieruchomości wspólnej ”.</w:t>
            </w:r>
          </w:p>
        </w:tc>
        <w:tc>
          <w:tcPr>
            <w:tcW w:w="4160" w:type="dxa"/>
          </w:tcPr>
          <w:p w14:paraId="0905B115" w14:textId="77777777" w:rsidR="00AF2F35" w:rsidRPr="0084014B" w:rsidRDefault="00AF2F35" w:rsidP="00AF2F35">
            <w:pPr>
              <w:spacing w:before="120" w:after="120"/>
              <w:jc w:val="both"/>
              <w:rPr>
                <w:rFonts w:ascii="Times New Roman" w:hAnsi="Times New Roman" w:cs="Times New Roman"/>
                <w:b/>
                <w:bCs/>
                <w:sz w:val="20"/>
              </w:rPr>
            </w:pPr>
            <w:r w:rsidRPr="0084014B">
              <w:rPr>
                <w:rFonts w:ascii="Times New Roman" w:hAnsi="Times New Roman" w:cs="Times New Roman"/>
                <w:b/>
                <w:bCs/>
                <w:sz w:val="20"/>
              </w:rPr>
              <w:t>Uwaga nieuwzględniona</w:t>
            </w:r>
          </w:p>
          <w:p w14:paraId="401353E3" w14:textId="77777777" w:rsidR="0099084C" w:rsidRDefault="00CE5251" w:rsidP="0099084C">
            <w:pPr>
              <w:spacing w:before="120" w:after="120"/>
              <w:jc w:val="both"/>
              <w:rPr>
                <w:rFonts w:ascii="Times New Roman" w:hAnsi="Times New Roman" w:cs="Times New Roman"/>
                <w:sz w:val="20"/>
              </w:rPr>
            </w:pPr>
            <w:r>
              <w:rPr>
                <w:rFonts w:ascii="Times New Roman" w:hAnsi="Times New Roman" w:cs="Times New Roman"/>
                <w:sz w:val="20"/>
              </w:rPr>
              <w:t xml:space="preserve">Na etapie prac koncepcyjnych były rozważane różne pojęcia, w tym te wskazane przez </w:t>
            </w:r>
            <w:proofErr w:type="spellStart"/>
            <w:r>
              <w:rPr>
                <w:rFonts w:ascii="Times New Roman" w:hAnsi="Times New Roman" w:cs="Times New Roman"/>
                <w:sz w:val="20"/>
              </w:rPr>
              <w:t>Uwagodawcę</w:t>
            </w:r>
            <w:proofErr w:type="spellEnd"/>
            <w:r>
              <w:rPr>
                <w:rFonts w:ascii="Times New Roman" w:hAnsi="Times New Roman" w:cs="Times New Roman"/>
                <w:sz w:val="20"/>
              </w:rPr>
              <w:t xml:space="preserve">. Ostatecznie zdecydowano się jednak na odniesienie do pojęcia pokoju. Pojęcie to jest bowiem immanentnym składnikiem opisu oferty sprzedaży mieszkania w praktyce obrotu oraz jedną z kluczowych zmiennych branych pod uwagę przy ocenie oferty. </w:t>
            </w:r>
            <w:r w:rsidRPr="008A7D1F">
              <w:rPr>
                <w:rFonts w:ascii="Times New Roman" w:hAnsi="Times New Roman" w:cs="Times New Roman"/>
                <w:sz w:val="20"/>
              </w:rPr>
              <w:t>Innymi słowy, liczba pokoi to podstawowy parametr opisujący zbywaną nieruchomość mieszkaniową w</w:t>
            </w:r>
            <w:r>
              <w:rPr>
                <w:rFonts w:ascii="Times New Roman" w:hAnsi="Times New Roman" w:cs="Times New Roman"/>
                <w:sz w:val="20"/>
              </w:rPr>
              <w:t> </w:t>
            </w:r>
            <w:r w:rsidRPr="008A7D1F">
              <w:rPr>
                <w:rFonts w:ascii="Times New Roman" w:hAnsi="Times New Roman" w:cs="Times New Roman"/>
                <w:sz w:val="20"/>
              </w:rPr>
              <w:t>praktyce obrotu oraz podstawowy parametr brany pod uwagę przy ocenie oferty przez osobę poszukującą mieszkania.</w:t>
            </w:r>
          </w:p>
          <w:p w14:paraId="1122A68D" w14:textId="77777777" w:rsidR="00CE5251" w:rsidRDefault="00CE5251" w:rsidP="0099084C">
            <w:pPr>
              <w:spacing w:before="120" w:after="120"/>
              <w:jc w:val="both"/>
              <w:rPr>
                <w:rFonts w:ascii="Times New Roman" w:hAnsi="Times New Roman" w:cs="Times New Roman"/>
                <w:sz w:val="20"/>
              </w:rPr>
            </w:pPr>
            <w:r>
              <w:rPr>
                <w:rFonts w:ascii="Times New Roman" w:hAnsi="Times New Roman" w:cs="Times New Roman"/>
                <w:sz w:val="20"/>
              </w:rPr>
              <w:t xml:space="preserve">W kontekście drugiej części uwagi, </w:t>
            </w:r>
            <w:r w:rsidRPr="00CE5251">
              <w:rPr>
                <w:rFonts w:ascii="Times New Roman" w:hAnsi="Times New Roman" w:cs="Times New Roman"/>
                <w:sz w:val="20"/>
              </w:rPr>
              <w:t>mając na względzie dotychczasową argumentację dotyczącą zakresu danych, informacje te są, w</w:t>
            </w:r>
            <w:r>
              <w:rPr>
                <w:rFonts w:ascii="Times New Roman" w:hAnsi="Times New Roman" w:cs="Times New Roman"/>
                <w:sz w:val="20"/>
              </w:rPr>
              <w:t> </w:t>
            </w:r>
            <w:r w:rsidRPr="00CE5251">
              <w:rPr>
                <w:rFonts w:ascii="Times New Roman" w:hAnsi="Times New Roman" w:cs="Times New Roman"/>
                <w:sz w:val="20"/>
              </w:rPr>
              <w:t>ocenie projektodawcy, nadmiarowe. ZBP nie przedstawił żadnych argumentów, jaką wartość dodaną dla celów Portalu takie uzupełnienie by niosło</w:t>
            </w:r>
            <w:r>
              <w:rPr>
                <w:rFonts w:ascii="Times New Roman" w:hAnsi="Times New Roman" w:cs="Times New Roman"/>
                <w:sz w:val="20"/>
              </w:rPr>
              <w:t>.</w:t>
            </w:r>
          </w:p>
          <w:p w14:paraId="5F52B732" w14:textId="77777777" w:rsidR="005902EA" w:rsidRDefault="005902EA" w:rsidP="0099084C">
            <w:pPr>
              <w:spacing w:before="120" w:after="120"/>
              <w:jc w:val="both"/>
              <w:rPr>
                <w:rFonts w:ascii="Times New Roman" w:hAnsi="Times New Roman" w:cs="Times New Roman"/>
                <w:sz w:val="20"/>
              </w:rPr>
            </w:pPr>
          </w:p>
          <w:p w14:paraId="1DDC03BE" w14:textId="674F3C11" w:rsidR="005902EA" w:rsidRPr="00EA7F10" w:rsidRDefault="005902EA" w:rsidP="0099084C">
            <w:pPr>
              <w:spacing w:before="120" w:after="120"/>
              <w:jc w:val="both"/>
              <w:rPr>
                <w:rFonts w:ascii="Times New Roman" w:hAnsi="Times New Roman" w:cs="Times New Roman"/>
                <w:sz w:val="20"/>
              </w:rPr>
            </w:pPr>
          </w:p>
        </w:tc>
      </w:tr>
      <w:tr w:rsidR="0099084C" w:rsidRPr="00FF4480" w14:paraId="6B0346FA" w14:textId="77777777" w:rsidTr="002F40D5">
        <w:trPr>
          <w:jc w:val="center"/>
        </w:trPr>
        <w:tc>
          <w:tcPr>
            <w:tcW w:w="14220" w:type="dxa"/>
            <w:gridSpan w:val="5"/>
            <w:shd w:val="clear" w:color="auto" w:fill="C6D9F1" w:themeFill="text2" w:themeFillTint="33"/>
          </w:tcPr>
          <w:p w14:paraId="389FF192" w14:textId="77777777" w:rsidR="0099084C" w:rsidRPr="00865AF4" w:rsidRDefault="0099084C" w:rsidP="0099084C">
            <w:pPr>
              <w:spacing w:before="120" w:after="120"/>
              <w:jc w:val="center"/>
              <w:rPr>
                <w:rFonts w:ascii="Times New Roman" w:hAnsi="Times New Roman" w:cs="Times New Roman"/>
                <w:b/>
                <w:bCs/>
                <w:color w:val="000000" w:themeColor="text1"/>
                <w:sz w:val="24"/>
                <w:szCs w:val="24"/>
              </w:rPr>
            </w:pPr>
            <w:r w:rsidRPr="00865AF4">
              <w:rPr>
                <w:rFonts w:ascii="Times New Roman" w:hAnsi="Times New Roman" w:cs="Times New Roman"/>
                <w:b/>
                <w:bCs/>
                <w:color w:val="000000" w:themeColor="text1"/>
                <w:sz w:val="24"/>
                <w:szCs w:val="24"/>
              </w:rPr>
              <w:lastRenderedPageBreak/>
              <w:t>Uwagi do uzasadnienia</w:t>
            </w:r>
          </w:p>
        </w:tc>
      </w:tr>
      <w:tr w:rsidR="0099084C" w:rsidRPr="00FF4480" w14:paraId="2B431F6B" w14:textId="77777777" w:rsidTr="00E9565F">
        <w:trPr>
          <w:jc w:val="center"/>
        </w:trPr>
        <w:tc>
          <w:tcPr>
            <w:tcW w:w="554" w:type="dxa"/>
            <w:vAlign w:val="center"/>
          </w:tcPr>
          <w:p w14:paraId="38980F7F"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3C974577" w14:textId="54497B1A" w:rsidR="0099084C" w:rsidRPr="00D85CE9" w:rsidRDefault="0099084C" w:rsidP="0099084C">
            <w:pPr>
              <w:spacing w:before="120" w:after="120"/>
              <w:rPr>
                <w:rFonts w:ascii="Times New Roman" w:hAnsi="Times New Roman" w:cs="Times New Roman"/>
                <w:sz w:val="20"/>
              </w:rPr>
            </w:pPr>
            <w:r w:rsidRPr="00247963">
              <w:rPr>
                <w:rFonts w:ascii="Times New Roman" w:hAnsi="Times New Roman" w:cs="Times New Roman"/>
                <w:sz w:val="20"/>
              </w:rPr>
              <w:t>Stowarzyszenie Notariuszy RP</w:t>
            </w:r>
          </w:p>
        </w:tc>
        <w:tc>
          <w:tcPr>
            <w:tcW w:w="1905" w:type="dxa"/>
            <w:vAlign w:val="center"/>
          </w:tcPr>
          <w:p w14:paraId="1250C744" w14:textId="1E5B87EC"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2-3</w:t>
            </w:r>
          </w:p>
        </w:tc>
        <w:tc>
          <w:tcPr>
            <w:tcW w:w="5670" w:type="dxa"/>
            <w:vAlign w:val="center"/>
          </w:tcPr>
          <w:p w14:paraId="3FF937CC" w14:textId="57EFB2B5" w:rsidR="0099084C" w:rsidRPr="00D85CE9" w:rsidRDefault="0099084C" w:rsidP="0099084C">
            <w:pPr>
              <w:spacing w:before="120" w:after="120"/>
              <w:jc w:val="both"/>
              <w:rPr>
                <w:rFonts w:ascii="Times New Roman" w:hAnsi="Times New Roman" w:cs="Times New Roman"/>
                <w:sz w:val="20"/>
              </w:rPr>
            </w:pPr>
            <w:r w:rsidRPr="00DC592D">
              <w:rPr>
                <w:rFonts w:ascii="Times New Roman" w:hAnsi="Times New Roman" w:cs="Times New Roman"/>
                <w:sz w:val="20"/>
              </w:rPr>
              <w:t>Uzasadnienie zawiera stwierdzenia, które zaprzeczają sensowi uchwalania projektowanej ustawy. Zdaniem projektodawcy to brak świadomości nabywców mieszkań, iż „ceny ofertowe – jak wskazują m.in. badania NBP – są najczęściej kilkanaście procent wyższe od realnych cen transakcyjnych” powoduje, iż mogą oni podejmować pochopne decyzje o nieprzemyślanym zakupie mieszkania / domu jednorodzinnego. Skoro powyższa zależność między cenami ofertowymi i transakcyjnymi jest tak oczywista i powszechna, to do usunięcia problemu braku wiedzy na jej temat, wystarczy społeczna kampania informacyjna w mediach. Nie trzeba tworzyć Portalu DOM, aby objaśnić tak proste zasady rynkowe</w:t>
            </w:r>
            <w:r>
              <w:rPr>
                <w:rFonts w:ascii="Times New Roman" w:hAnsi="Times New Roman" w:cs="Times New Roman"/>
                <w:sz w:val="20"/>
              </w:rPr>
              <w:t>.</w:t>
            </w:r>
          </w:p>
        </w:tc>
        <w:tc>
          <w:tcPr>
            <w:tcW w:w="4160" w:type="dxa"/>
          </w:tcPr>
          <w:p w14:paraId="555FCF0B" w14:textId="77777777" w:rsidR="0099084C" w:rsidRPr="00CE5251" w:rsidRDefault="00CE5251" w:rsidP="0099084C">
            <w:pPr>
              <w:spacing w:before="120" w:after="120"/>
              <w:jc w:val="both"/>
              <w:rPr>
                <w:rFonts w:ascii="Times New Roman" w:hAnsi="Times New Roman" w:cs="Times New Roman"/>
                <w:sz w:val="20"/>
                <w:u w:val="single"/>
              </w:rPr>
            </w:pPr>
            <w:r w:rsidRPr="00CE5251">
              <w:rPr>
                <w:rFonts w:ascii="Times New Roman" w:hAnsi="Times New Roman" w:cs="Times New Roman"/>
                <w:sz w:val="20"/>
                <w:u w:val="single"/>
              </w:rPr>
              <w:t>Komentarz do uwagi</w:t>
            </w:r>
          </w:p>
          <w:p w14:paraId="56DE5A82" w14:textId="3E946190" w:rsidR="00CE5251" w:rsidRPr="00390843" w:rsidRDefault="00CE5251" w:rsidP="0099084C">
            <w:pPr>
              <w:spacing w:before="120" w:after="120"/>
              <w:jc w:val="both"/>
              <w:rPr>
                <w:rFonts w:ascii="Times New Roman" w:hAnsi="Times New Roman" w:cs="Times New Roman"/>
                <w:sz w:val="20"/>
              </w:rPr>
            </w:pPr>
            <w:r>
              <w:rPr>
                <w:rFonts w:ascii="Times New Roman" w:hAnsi="Times New Roman" w:cs="Times New Roman"/>
                <w:sz w:val="20"/>
              </w:rPr>
              <w:t xml:space="preserve">Podstawowym motywem uruchomienia tego rozwiązania nie jest aspekt edukacyjny opisany przez </w:t>
            </w:r>
            <w:proofErr w:type="spellStart"/>
            <w:r>
              <w:rPr>
                <w:rFonts w:ascii="Times New Roman" w:hAnsi="Times New Roman" w:cs="Times New Roman"/>
                <w:sz w:val="20"/>
              </w:rPr>
              <w:t>Uwagodawcę</w:t>
            </w:r>
            <w:proofErr w:type="spellEnd"/>
            <w:r>
              <w:rPr>
                <w:rFonts w:ascii="Times New Roman" w:hAnsi="Times New Roman" w:cs="Times New Roman"/>
                <w:sz w:val="20"/>
              </w:rPr>
              <w:t xml:space="preserve">, ale ochrona nabywców mieszkań w konkretnych sytuacjach obrotu poprzez umożliwienie osobom fizycznym porównania </w:t>
            </w:r>
            <w:r w:rsidR="00F6461E">
              <w:rPr>
                <w:rFonts w:ascii="Times New Roman" w:hAnsi="Times New Roman" w:cs="Times New Roman"/>
                <w:sz w:val="20"/>
              </w:rPr>
              <w:t xml:space="preserve">bieżących </w:t>
            </w:r>
            <w:r>
              <w:rPr>
                <w:rFonts w:ascii="Times New Roman" w:hAnsi="Times New Roman" w:cs="Times New Roman"/>
                <w:sz w:val="20"/>
              </w:rPr>
              <w:t>cen transakcyjnych na rynku w celu wyboru najkorzystniejszej oferty kupna nieruchomości mieszkaniowej.</w:t>
            </w:r>
          </w:p>
        </w:tc>
      </w:tr>
      <w:tr w:rsidR="0099084C" w:rsidRPr="00FF4480" w14:paraId="18DF9D89" w14:textId="77777777" w:rsidTr="00E9565F">
        <w:trPr>
          <w:jc w:val="center"/>
        </w:trPr>
        <w:tc>
          <w:tcPr>
            <w:tcW w:w="554" w:type="dxa"/>
            <w:vAlign w:val="center"/>
          </w:tcPr>
          <w:p w14:paraId="4E442F72"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28DCF8AA" w14:textId="3815020C" w:rsidR="0099084C" w:rsidRPr="00247963" w:rsidRDefault="0099084C" w:rsidP="0099084C">
            <w:pPr>
              <w:spacing w:before="120" w:after="120"/>
              <w:rPr>
                <w:rFonts w:ascii="Times New Roman" w:hAnsi="Times New Roman" w:cs="Times New Roman"/>
                <w:sz w:val="20"/>
              </w:rPr>
            </w:pPr>
            <w:r w:rsidRPr="00DC592D">
              <w:rPr>
                <w:rFonts w:ascii="Times New Roman" w:hAnsi="Times New Roman" w:cs="Times New Roman"/>
                <w:sz w:val="20"/>
              </w:rPr>
              <w:t>Stowarzyszenie Notariuszy RP</w:t>
            </w:r>
          </w:p>
        </w:tc>
        <w:tc>
          <w:tcPr>
            <w:tcW w:w="1905" w:type="dxa"/>
            <w:vAlign w:val="center"/>
          </w:tcPr>
          <w:p w14:paraId="403C59D7" w14:textId="18FC45E7"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3</w:t>
            </w:r>
          </w:p>
        </w:tc>
        <w:tc>
          <w:tcPr>
            <w:tcW w:w="5670" w:type="dxa"/>
            <w:vAlign w:val="center"/>
          </w:tcPr>
          <w:p w14:paraId="06F8A51D" w14:textId="77777777" w:rsidR="0099084C" w:rsidRPr="00DC592D" w:rsidRDefault="0099084C" w:rsidP="0099084C">
            <w:pPr>
              <w:spacing w:before="120" w:after="120"/>
              <w:jc w:val="both"/>
              <w:rPr>
                <w:rFonts w:ascii="Times New Roman" w:hAnsi="Times New Roman" w:cs="Times New Roman"/>
                <w:sz w:val="20"/>
              </w:rPr>
            </w:pPr>
            <w:r w:rsidRPr="00DC592D">
              <w:rPr>
                <w:rFonts w:ascii="Times New Roman" w:hAnsi="Times New Roman" w:cs="Times New Roman"/>
                <w:sz w:val="20"/>
              </w:rPr>
              <w:t xml:space="preserve">Wątpliwości konstytucyjne budzi też fakt, iż ustawa ma służyć „decyzjom zakupowym” oraz „planowaniu i parametryzowaniu inwestycji mieszkaniowych na lokalnych rynkach oraz analizowanie potencjalnych </w:t>
            </w:r>
            <w:proofErr w:type="spellStart"/>
            <w:r w:rsidRPr="00DC592D">
              <w:rPr>
                <w:rFonts w:ascii="Times New Roman" w:hAnsi="Times New Roman" w:cs="Times New Roman"/>
                <w:sz w:val="20"/>
              </w:rPr>
              <w:t>ryzyk</w:t>
            </w:r>
            <w:proofErr w:type="spellEnd"/>
            <w:r w:rsidRPr="00DC592D">
              <w:rPr>
                <w:rFonts w:ascii="Times New Roman" w:hAnsi="Times New Roman" w:cs="Times New Roman"/>
                <w:sz w:val="20"/>
              </w:rPr>
              <w:t xml:space="preserve"> wiążących się z inwestowaniem na rynku mieszkaniowym” podmiotów profesjonalnych („np. deweloperom, inwestorom, bankom, ubezpieczycielom itp.”). Czy aparat skarbowy (KAS) i prywatni przedsiębiorcy (notariusze) mogą być obciążani dodatkowymi obowiązkami, tylko po to by jakieś grupy społeczne mogły więcej zarobić, mniej wydać lub lepiej zainwestować? Aparat państwowy zmienia się tu w swego rodzaju darmowego doradcę inwestycyjnego dla osób inwestujących w lokale mieszkalne i domy jednorodzinne. Jest oczywiste, że z Portalu DOM skorzystają finansowo przede wszystkim ci, którzy będą go używać na co dzień, a zatem deweloperzy, </w:t>
            </w:r>
            <w:proofErr w:type="spellStart"/>
            <w:r w:rsidRPr="00DC592D">
              <w:rPr>
                <w:rFonts w:ascii="Times New Roman" w:hAnsi="Times New Roman" w:cs="Times New Roman"/>
                <w:sz w:val="20"/>
              </w:rPr>
              <w:t>fliperzy</w:t>
            </w:r>
            <w:proofErr w:type="spellEnd"/>
            <w:r w:rsidRPr="00DC592D">
              <w:rPr>
                <w:rFonts w:ascii="Times New Roman" w:hAnsi="Times New Roman" w:cs="Times New Roman"/>
                <w:sz w:val="20"/>
              </w:rPr>
              <w:t xml:space="preserve"> i spekulanci mieszkań. Wbrew deklaracjom zawartym w uzasadnieniu, oddziaływanie Portalu DOM na interesy większości obywateli, stykających się z rynkiem nieruchomości sporadycznie, będzie minimalne. Natomiast wsparcie – poprzez uchwalenie projektowanej</w:t>
            </w:r>
            <w:r>
              <w:rPr>
                <w:rFonts w:ascii="Times New Roman" w:hAnsi="Times New Roman" w:cs="Times New Roman"/>
                <w:sz w:val="20"/>
              </w:rPr>
              <w:t xml:space="preserve"> </w:t>
            </w:r>
            <w:r w:rsidRPr="00DC592D">
              <w:rPr>
                <w:rFonts w:ascii="Times New Roman" w:hAnsi="Times New Roman" w:cs="Times New Roman"/>
                <w:sz w:val="20"/>
              </w:rPr>
              <w:t xml:space="preserve">ustawy - interesu gospodarczego deweloperów, </w:t>
            </w:r>
            <w:proofErr w:type="spellStart"/>
            <w:r w:rsidRPr="00DC592D">
              <w:rPr>
                <w:rFonts w:ascii="Times New Roman" w:hAnsi="Times New Roman" w:cs="Times New Roman"/>
                <w:sz w:val="20"/>
              </w:rPr>
              <w:t>fliperów</w:t>
            </w:r>
            <w:proofErr w:type="spellEnd"/>
            <w:r w:rsidRPr="00DC592D">
              <w:rPr>
                <w:rFonts w:ascii="Times New Roman" w:hAnsi="Times New Roman" w:cs="Times New Roman"/>
                <w:sz w:val="20"/>
              </w:rPr>
              <w:t xml:space="preserve"> i innych spekulantów na rynku nieruchomości, a nie udzielenie takiej pomocy np. osobom nabywającym samochody, będzie klasycznym przykładem naruszenia zasady równości wobec prawa (art. 32 Konstytucji).</w:t>
            </w:r>
          </w:p>
          <w:p w14:paraId="664F5CE7" w14:textId="0BE302C9" w:rsidR="0099084C" w:rsidRPr="00DC592D" w:rsidRDefault="0099084C" w:rsidP="0099084C">
            <w:pPr>
              <w:spacing w:before="120" w:after="120"/>
              <w:jc w:val="both"/>
              <w:rPr>
                <w:rFonts w:ascii="Times New Roman" w:hAnsi="Times New Roman" w:cs="Times New Roman"/>
                <w:sz w:val="20"/>
              </w:rPr>
            </w:pPr>
            <w:r w:rsidRPr="00DC592D">
              <w:rPr>
                <w:rFonts w:ascii="Times New Roman" w:hAnsi="Times New Roman" w:cs="Times New Roman"/>
                <w:sz w:val="20"/>
              </w:rPr>
              <w:t xml:space="preserve">Na koniec ZG SNRP chce zwrócić uwagę, że gromadzenie danych wrażliwych (PESEL, nr dokumentu tożsamości) daleko przekracza </w:t>
            </w:r>
            <w:r w:rsidRPr="00DC592D">
              <w:rPr>
                <w:rFonts w:ascii="Times New Roman" w:hAnsi="Times New Roman" w:cs="Times New Roman"/>
                <w:sz w:val="20"/>
              </w:rPr>
              <w:lastRenderedPageBreak/>
              <w:t>„cele statystyczne” o których mowa w uzasadnieniu, a rodzi obawy nadmiernej inwigilacji i naruszenia prywatności obywateli.</w:t>
            </w:r>
          </w:p>
        </w:tc>
        <w:tc>
          <w:tcPr>
            <w:tcW w:w="4160" w:type="dxa"/>
          </w:tcPr>
          <w:p w14:paraId="386B42AC" w14:textId="77777777" w:rsidR="00CE5251" w:rsidRPr="00CE5251" w:rsidRDefault="00CE5251" w:rsidP="00CE5251">
            <w:pPr>
              <w:spacing w:before="120" w:after="120"/>
              <w:jc w:val="both"/>
              <w:rPr>
                <w:rFonts w:ascii="Times New Roman" w:hAnsi="Times New Roman" w:cs="Times New Roman"/>
                <w:sz w:val="20"/>
                <w:u w:val="single"/>
              </w:rPr>
            </w:pPr>
            <w:r w:rsidRPr="00CE5251">
              <w:rPr>
                <w:rFonts w:ascii="Times New Roman" w:hAnsi="Times New Roman" w:cs="Times New Roman"/>
                <w:sz w:val="20"/>
                <w:u w:val="single"/>
              </w:rPr>
              <w:lastRenderedPageBreak/>
              <w:t>Komentarz do uwagi</w:t>
            </w:r>
          </w:p>
          <w:p w14:paraId="4DE80A01" w14:textId="4261F360" w:rsidR="00866757" w:rsidRDefault="00866757" w:rsidP="0099084C">
            <w:pPr>
              <w:spacing w:before="120" w:after="120"/>
              <w:jc w:val="both"/>
              <w:rPr>
                <w:rFonts w:ascii="Times New Roman" w:hAnsi="Times New Roman" w:cs="Times New Roman"/>
                <w:sz w:val="20"/>
              </w:rPr>
            </w:pPr>
            <w:r>
              <w:rPr>
                <w:rFonts w:ascii="Times New Roman" w:hAnsi="Times New Roman" w:cs="Times New Roman"/>
                <w:sz w:val="20"/>
              </w:rPr>
              <w:t>U</w:t>
            </w:r>
            <w:r w:rsidRPr="00DC3F50">
              <w:rPr>
                <w:rFonts w:ascii="Times New Roman" w:hAnsi="Times New Roman" w:cs="Times New Roman"/>
                <w:sz w:val="20"/>
              </w:rPr>
              <w:t xml:space="preserve">łatwienia dla podmiotów profesjonalnych stanowią cel dodatkowy, a nie podstawowy projektowanego narzędzia. </w:t>
            </w:r>
            <w:r w:rsidR="00BD0053">
              <w:rPr>
                <w:rFonts w:ascii="Times New Roman" w:hAnsi="Times New Roman" w:cs="Times New Roman"/>
                <w:sz w:val="20"/>
              </w:rPr>
              <w:t>Podmioty te będą miały dostęp do danych na takich samych zasadach jak inne podmioty. Warto zauważyć, ż</w:t>
            </w:r>
            <w:r w:rsidR="006C31C6">
              <w:rPr>
                <w:rFonts w:ascii="Times New Roman" w:hAnsi="Times New Roman" w:cs="Times New Roman"/>
                <w:sz w:val="20"/>
              </w:rPr>
              <w:t>e</w:t>
            </w:r>
            <w:r w:rsidR="00BD0053">
              <w:rPr>
                <w:rFonts w:ascii="Times New Roman" w:hAnsi="Times New Roman" w:cs="Times New Roman"/>
                <w:sz w:val="20"/>
              </w:rPr>
              <w:t xml:space="preserve"> p</w:t>
            </w:r>
            <w:r w:rsidRPr="00DC3F50">
              <w:rPr>
                <w:rFonts w:ascii="Times New Roman" w:hAnsi="Times New Roman" w:cs="Times New Roman"/>
                <w:sz w:val="20"/>
              </w:rPr>
              <w:t>odmioty profesjonalne już obecnie dysponują możliwością dostępu do tego typu danych, m.in. dzięki temu, że mogą sobie pozwolić na dostęp komercyjny np. do bazy AMRON-</w:t>
            </w:r>
            <w:proofErr w:type="spellStart"/>
            <w:r w:rsidRPr="00DC3F50">
              <w:rPr>
                <w:rFonts w:ascii="Times New Roman" w:hAnsi="Times New Roman" w:cs="Times New Roman"/>
                <w:sz w:val="20"/>
              </w:rPr>
              <w:t>Sarfin</w:t>
            </w:r>
            <w:proofErr w:type="spellEnd"/>
            <w:r w:rsidR="00BD0053">
              <w:rPr>
                <w:rFonts w:ascii="Times New Roman" w:hAnsi="Times New Roman" w:cs="Times New Roman"/>
                <w:sz w:val="20"/>
              </w:rPr>
              <w:t>, co zwiększa asymetri</w:t>
            </w:r>
            <w:r w:rsidR="00C5477C">
              <w:rPr>
                <w:rFonts w:ascii="Times New Roman" w:hAnsi="Times New Roman" w:cs="Times New Roman"/>
                <w:sz w:val="20"/>
              </w:rPr>
              <w:t>ę</w:t>
            </w:r>
            <w:r w:rsidR="00BD0053">
              <w:rPr>
                <w:rFonts w:ascii="Times New Roman" w:hAnsi="Times New Roman" w:cs="Times New Roman"/>
                <w:sz w:val="20"/>
              </w:rPr>
              <w:t xml:space="preserve"> informacyjn</w:t>
            </w:r>
            <w:r w:rsidR="00C5477C">
              <w:rPr>
                <w:rFonts w:ascii="Times New Roman" w:hAnsi="Times New Roman" w:cs="Times New Roman"/>
                <w:sz w:val="20"/>
              </w:rPr>
              <w:t>ą</w:t>
            </w:r>
            <w:r w:rsidR="00BD0053">
              <w:rPr>
                <w:rFonts w:ascii="Times New Roman" w:hAnsi="Times New Roman" w:cs="Times New Roman"/>
                <w:sz w:val="20"/>
              </w:rPr>
              <w:t xml:space="preserve"> na rynku mieszkaniowym.</w:t>
            </w:r>
            <w:r w:rsidRPr="00DC3F50">
              <w:rPr>
                <w:rFonts w:ascii="Times New Roman" w:hAnsi="Times New Roman" w:cs="Times New Roman"/>
                <w:sz w:val="20"/>
              </w:rPr>
              <w:t xml:space="preserve"> Nie należy także zapominać, że wspomniane ułatwienia mają równoważyć obowiązki informacyjne podmiotów profesjonalnych związane z</w:t>
            </w:r>
            <w:r w:rsidR="006C31C6">
              <w:rPr>
                <w:rFonts w:ascii="Times New Roman" w:hAnsi="Times New Roman" w:cs="Times New Roman"/>
                <w:sz w:val="20"/>
              </w:rPr>
              <w:t xml:space="preserve"> </w:t>
            </w:r>
            <w:r w:rsidRPr="00DC3F50">
              <w:rPr>
                <w:rFonts w:ascii="Times New Roman" w:hAnsi="Times New Roman" w:cs="Times New Roman"/>
                <w:sz w:val="20"/>
              </w:rPr>
              <w:t>dostarczaniem danych do Portalu DOM.</w:t>
            </w:r>
          </w:p>
          <w:p w14:paraId="0D4BFAF0" w14:textId="390EF727" w:rsidR="00866757" w:rsidRDefault="00D34C65" w:rsidP="00D34C65">
            <w:pPr>
              <w:spacing w:before="120" w:after="120"/>
              <w:jc w:val="both"/>
              <w:rPr>
                <w:rFonts w:ascii="Times New Roman" w:hAnsi="Times New Roman" w:cs="Times New Roman"/>
                <w:sz w:val="20"/>
              </w:rPr>
            </w:pPr>
            <w:r>
              <w:rPr>
                <w:rFonts w:ascii="Times New Roman" w:hAnsi="Times New Roman" w:cs="Times New Roman"/>
                <w:sz w:val="20"/>
              </w:rPr>
              <w:t>Jak podkreśla w swoim stanowisku MF,</w:t>
            </w:r>
            <w:r w:rsidRPr="00D34C65">
              <w:rPr>
                <w:rFonts w:ascii="Times New Roman" w:hAnsi="Times New Roman" w:cs="Times New Roman"/>
                <w:sz w:val="20"/>
              </w:rPr>
              <w:t xml:space="preserve"> </w:t>
            </w:r>
            <w:r>
              <w:rPr>
                <w:rFonts w:ascii="Times New Roman" w:hAnsi="Times New Roman" w:cs="Times New Roman"/>
                <w:sz w:val="20"/>
              </w:rPr>
              <w:t>„p</w:t>
            </w:r>
            <w:r w:rsidRPr="00D34C65">
              <w:rPr>
                <w:rFonts w:ascii="Times New Roman" w:hAnsi="Times New Roman" w:cs="Times New Roman"/>
                <w:sz w:val="20"/>
              </w:rPr>
              <w:t>rojektowane przepisy nie wprowadzają obowiązku odrębnego przekazywania danych przez notariuszy do Portalu</w:t>
            </w:r>
            <w:r w:rsidR="00E13B4B">
              <w:rPr>
                <w:rFonts w:ascii="Times New Roman" w:hAnsi="Times New Roman" w:cs="Times New Roman"/>
                <w:sz w:val="20"/>
              </w:rPr>
              <w:t>,</w:t>
            </w:r>
            <w:r w:rsidRPr="00D34C65">
              <w:rPr>
                <w:rFonts w:ascii="Times New Roman" w:hAnsi="Times New Roman" w:cs="Times New Roman"/>
                <w:sz w:val="20"/>
              </w:rPr>
              <w:t xml:space="preserve"> ale powodują wykorzystanie danych już znanych organom.</w:t>
            </w:r>
            <w:r>
              <w:rPr>
                <w:rFonts w:ascii="Times New Roman" w:hAnsi="Times New Roman" w:cs="Times New Roman"/>
                <w:sz w:val="20"/>
              </w:rPr>
              <w:t xml:space="preserve"> </w:t>
            </w:r>
            <w:r w:rsidRPr="00D34C65">
              <w:rPr>
                <w:rFonts w:ascii="Times New Roman" w:hAnsi="Times New Roman" w:cs="Times New Roman"/>
                <w:sz w:val="20"/>
              </w:rPr>
              <w:t>Należy to uznać za racjonalne działanie projektodawcy</w:t>
            </w:r>
            <w:r>
              <w:rPr>
                <w:rFonts w:ascii="Times New Roman" w:hAnsi="Times New Roman" w:cs="Times New Roman"/>
                <w:sz w:val="20"/>
              </w:rPr>
              <w:t>”.</w:t>
            </w:r>
          </w:p>
          <w:p w14:paraId="72EDBBD5" w14:textId="3E121D3F" w:rsidR="00532211" w:rsidRPr="00532211" w:rsidRDefault="002962F9" w:rsidP="00532211">
            <w:pPr>
              <w:spacing w:before="120" w:after="120"/>
              <w:jc w:val="both"/>
              <w:rPr>
                <w:rFonts w:ascii="Times New Roman" w:hAnsi="Times New Roman" w:cs="Times New Roman"/>
                <w:sz w:val="20"/>
              </w:rPr>
            </w:pPr>
            <w:r>
              <w:rPr>
                <w:rFonts w:ascii="Times New Roman" w:hAnsi="Times New Roman" w:cs="Times New Roman"/>
                <w:sz w:val="20"/>
              </w:rPr>
              <w:lastRenderedPageBreak/>
              <w:t xml:space="preserve">Odnosząc się do ostatniej uwagi, </w:t>
            </w:r>
            <w:r w:rsidR="00532211">
              <w:rPr>
                <w:rFonts w:ascii="Times New Roman" w:hAnsi="Times New Roman" w:cs="Times New Roman"/>
                <w:sz w:val="20"/>
              </w:rPr>
              <w:t>w</w:t>
            </w:r>
            <w:r w:rsidR="00532211" w:rsidRPr="00532211">
              <w:rPr>
                <w:rFonts w:ascii="Times New Roman" w:hAnsi="Times New Roman" w:cs="Times New Roman"/>
                <w:sz w:val="20"/>
              </w:rPr>
              <w:t xml:space="preserve"> uzasadnieniu oraz towarzyszącej mu ocenie skutków dla ochrony danych zostały również przytoczone </w:t>
            </w:r>
            <w:r w:rsidR="00532211">
              <w:rPr>
                <w:rFonts w:ascii="Times New Roman" w:hAnsi="Times New Roman" w:cs="Times New Roman"/>
                <w:sz w:val="20"/>
              </w:rPr>
              <w:t xml:space="preserve">cele gromadzenia poszczególnych kategorii danych osobowych oraz </w:t>
            </w:r>
            <w:r w:rsidR="00532211" w:rsidRPr="00532211">
              <w:rPr>
                <w:rFonts w:ascii="Times New Roman" w:hAnsi="Times New Roman" w:cs="Times New Roman"/>
                <w:sz w:val="20"/>
              </w:rPr>
              <w:t>argumenty, które wskazują na dopełnienie dbałości o zgodność projektu z</w:t>
            </w:r>
            <w:r w:rsidR="00532211">
              <w:rPr>
                <w:rFonts w:ascii="Times New Roman" w:hAnsi="Times New Roman" w:cs="Times New Roman"/>
                <w:sz w:val="20"/>
              </w:rPr>
              <w:t> </w:t>
            </w:r>
            <w:r w:rsidR="00532211" w:rsidRPr="00532211">
              <w:rPr>
                <w:rFonts w:ascii="Times New Roman" w:hAnsi="Times New Roman" w:cs="Times New Roman"/>
                <w:sz w:val="20"/>
              </w:rPr>
              <w:t>zasadą ochrony prywatności. Wyniki testu prywatności zostały podsumowane w załączniku do OSR.</w:t>
            </w:r>
          </w:p>
          <w:p w14:paraId="0DABF4EB" w14:textId="4EFB983D" w:rsidR="002962F9" w:rsidRPr="00390843" w:rsidRDefault="00532211" w:rsidP="00532211">
            <w:pPr>
              <w:spacing w:before="120" w:after="120"/>
              <w:jc w:val="both"/>
              <w:rPr>
                <w:rFonts w:ascii="Times New Roman" w:hAnsi="Times New Roman" w:cs="Times New Roman"/>
                <w:sz w:val="20"/>
              </w:rPr>
            </w:pPr>
            <w:r w:rsidRPr="00532211">
              <w:rPr>
                <w:rFonts w:ascii="Times New Roman" w:hAnsi="Times New Roman" w:cs="Times New Roman"/>
                <w:sz w:val="20"/>
              </w:rPr>
              <w:t>Zastrzeżenia zgłaszane przez Stowarzyszenie są tym bardziej niezrozumiałe, że proponowane narzędzie zostało zaprojektowane w celu realizacji obowiązku konstytucyjnego. Służy nie tylko wynikającemu z art. 75 Konstytucji RP wspieraniu osób fizycznych w dążeniu do uzyskania mieszkania dzięki ułatwieniu podejmowania decyzji zakupowych, ale również dzięki dostarczaniu informacji niezbędnych do prawidłowego prowadzenia polityki mieszkaniowej państwa i parametryzowania instrumentów wsparcia mieszkalnictwa</w:t>
            </w:r>
            <w:r>
              <w:rPr>
                <w:rFonts w:ascii="Times New Roman" w:hAnsi="Times New Roman" w:cs="Times New Roman"/>
                <w:sz w:val="20"/>
              </w:rPr>
              <w:t>, które mają służyć właśnie obywatelom.</w:t>
            </w:r>
          </w:p>
        </w:tc>
      </w:tr>
      <w:tr w:rsidR="0099084C" w:rsidRPr="00FF4480" w14:paraId="24AFAC35" w14:textId="77777777" w:rsidTr="00E9565F">
        <w:trPr>
          <w:jc w:val="center"/>
        </w:trPr>
        <w:tc>
          <w:tcPr>
            <w:tcW w:w="554" w:type="dxa"/>
            <w:vAlign w:val="center"/>
          </w:tcPr>
          <w:p w14:paraId="679A6AF6"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2A064A84" w14:textId="6B7EC4C2" w:rsidR="0099084C" w:rsidRPr="00DC592D" w:rsidRDefault="0099084C" w:rsidP="0099084C">
            <w:pPr>
              <w:spacing w:before="120" w:after="120"/>
              <w:rPr>
                <w:rFonts w:ascii="Times New Roman" w:hAnsi="Times New Roman" w:cs="Times New Roman"/>
                <w:sz w:val="20"/>
              </w:rPr>
            </w:pPr>
            <w:r w:rsidRPr="00DC592D">
              <w:rPr>
                <w:rFonts w:ascii="Times New Roman" w:hAnsi="Times New Roman" w:cs="Times New Roman"/>
                <w:sz w:val="20"/>
              </w:rPr>
              <w:t>Stowarzyszenie Notariuszy RP</w:t>
            </w:r>
          </w:p>
        </w:tc>
        <w:tc>
          <w:tcPr>
            <w:tcW w:w="1905" w:type="dxa"/>
            <w:vAlign w:val="center"/>
          </w:tcPr>
          <w:p w14:paraId="4E657A0D" w14:textId="794F4879"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3</w:t>
            </w:r>
          </w:p>
        </w:tc>
        <w:tc>
          <w:tcPr>
            <w:tcW w:w="5670" w:type="dxa"/>
            <w:vAlign w:val="center"/>
          </w:tcPr>
          <w:p w14:paraId="2608253B" w14:textId="29353983" w:rsidR="0099084C" w:rsidRPr="00DC592D" w:rsidRDefault="0099084C" w:rsidP="0099084C">
            <w:pPr>
              <w:spacing w:before="120" w:after="120"/>
              <w:jc w:val="both"/>
              <w:rPr>
                <w:rFonts w:ascii="Times New Roman" w:hAnsi="Times New Roman" w:cs="Times New Roman"/>
                <w:sz w:val="20"/>
              </w:rPr>
            </w:pPr>
            <w:r>
              <w:rPr>
                <w:rFonts w:ascii="Times New Roman" w:hAnsi="Times New Roman" w:cs="Times New Roman"/>
                <w:sz w:val="20"/>
              </w:rPr>
              <w:t>P</w:t>
            </w:r>
            <w:r w:rsidRPr="009B19B8">
              <w:rPr>
                <w:rFonts w:ascii="Times New Roman" w:hAnsi="Times New Roman" w:cs="Times New Roman"/>
                <w:sz w:val="20"/>
              </w:rPr>
              <w:t xml:space="preserve">lanowany Portal DOM wymaga pozyskania od podmiotów zobowiązanych do przekazywania do Portalu dużej ilości danych osobowych swoich klientów, w tym danych wrażliwych (PESEL, numery dowodów osobistych). W ocenie Stowarzyszenia, w uzasadnieniu do projektu ustawy, Projektodawca nie odniósł się w sposób wystarczający do konfliktu pomiędzy obowiązkiem zachowania tajemnicy notarialnej, a planowanym, nowym obowiązkiem nakładanym na notariuszy, a polegającym na przekazywaniu do Portalu DOM m.in. wrażliwych danych osobowych. </w:t>
            </w:r>
            <w:proofErr w:type="spellStart"/>
            <w:r w:rsidRPr="009B19B8">
              <w:rPr>
                <w:rFonts w:ascii="Times New Roman" w:hAnsi="Times New Roman" w:cs="Times New Roman"/>
                <w:sz w:val="20"/>
              </w:rPr>
              <w:t>Niewystarcząco</w:t>
            </w:r>
            <w:proofErr w:type="spellEnd"/>
            <w:r w:rsidRPr="009B19B8">
              <w:rPr>
                <w:rFonts w:ascii="Times New Roman" w:hAnsi="Times New Roman" w:cs="Times New Roman"/>
                <w:sz w:val="20"/>
              </w:rPr>
              <w:t xml:space="preserve"> przedstawiona jest również potrzeba pozyskania tych danych, a przez to naruszenia prywatności klientów (obywateli).</w:t>
            </w:r>
          </w:p>
        </w:tc>
        <w:tc>
          <w:tcPr>
            <w:tcW w:w="4160" w:type="dxa"/>
          </w:tcPr>
          <w:p w14:paraId="4D0C4B9D" w14:textId="77777777" w:rsidR="00E420DE" w:rsidRPr="00CE5251" w:rsidRDefault="00E420DE" w:rsidP="00E420DE">
            <w:pPr>
              <w:spacing w:before="120" w:after="120"/>
              <w:jc w:val="both"/>
              <w:rPr>
                <w:rFonts w:ascii="Times New Roman" w:hAnsi="Times New Roman" w:cs="Times New Roman"/>
                <w:sz w:val="20"/>
                <w:u w:val="single"/>
              </w:rPr>
            </w:pPr>
            <w:r w:rsidRPr="00CE5251">
              <w:rPr>
                <w:rFonts w:ascii="Times New Roman" w:hAnsi="Times New Roman" w:cs="Times New Roman"/>
                <w:sz w:val="20"/>
                <w:u w:val="single"/>
              </w:rPr>
              <w:t>Komentarz do uwagi</w:t>
            </w:r>
          </w:p>
          <w:p w14:paraId="2189207A" w14:textId="402985D9" w:rsidR="0099084C" w:rsidRPr="00390843" w:rsidRDefault="00E420DE" w:rsidP="0099084C">
            <w:pPr>
              <w:spacing w:before="120" w:after="120"/>
              <w:jc w:val="both"/>
              <w:rPr>
                <w:rFonts w:ascii="Times New Roman" w:hAnsi="Times New Roman" w:cs="Times New Roman"/>
                <w:sz w:val="20"/>
              </w:rPr>
            </w:pPr>
            <w:r>
              <w:rPr>
                <w:rFonts w:ascii="Times New Roman" w:hAnsi="Times New Roman" w:cs="Times New Roman"/>
                <w:sz w:val="20"/>
              </w:rPr>
              <w:t>W ocenie projektodawcy kwestie te zostały omówione w uzasadnieniu szczegółowo i zgodnie z tym, jak będą funkcjonowały.</w:t>
            </w:r>
          </w:p>
        </w:tc>
      </w:tr>
      <w:tr w:rsidR="0099084C" w:rsidRPr="00FF4480" w14:paraId="3905DA4E" w14:textId="77777777" w:rsidTr="00E9565F">
        <w:trPr>
          <w:jc w:val="center"/>
        </w:trPr>
        <w:tc>
          <w:tcPr>
            <w:tcW w:w="554" w:type="dxa"/>
            <w:vAlign w:val="center"/>
          </w:tcPr>
          <w:p w14:paraId="77C6D5F5"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220B22FF" w14:textId="0ADCDF31" w:rsidR="0099084C" w:rsidRPr="00FF4480" w:rsidRDefault="0099084C" w:rsidP="0099084C">
            <w:pPr>
              <w:spacing w:before="120" w:after="120"/>
              <w:rPr>
                <w:rFonts w:ascii="Times New Roman" w:hAnsi="Times New Roman" w:cs="Times New Roman"/>
                <w:sz w:val="20"/>
              </w:rPr>
            </w:pPr>
            <w:r w:rsidRPr="00D85CE9">
              <w:rPr>
                <w:rFonts w:ascii="Times New Roman" w:hAnsi="Times New Roman" w:cs="Times New Roman"/>
                <w:sz w:val="20"/>
              </w:rPr>
              <w:t>Polski Związek Pracodawców Budownictwa</w:t>
            </w:r>
          </w:p>
        </w:tc>
        <w:tc>
          <w:tcPr>
            <w:tcW w:w="1905" w:type="dxa"/>
            <w:vAlign w:val="center"/>
          </w:tcPr>
          <w:p w14:paraId="204A6861" w14:textId="566B15EB" w:rsidR="0099084C" w:rsidRPr="00FF4480"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4</w:t>
            </w:r>
          </w:p>
        </w:tc>
        <w:tc>
          <w:tcPr>
            <w:tcW w:w="5670" w:type="dxa"/>
            <w:vAlign w:val="center"/>
          </w:tcPr>
          <w:p w14:paraId="6FB1B91F" w14:textId="77777777" w:rsidR="0099084C" w:rsidRPr="00D85CE9" w:rsidRDefault="0099084C" w:rsidP="0099084C">
            <w:pPr>
              <w:spacing w:before="120" w:after="120"/>
              <w:jc w:val="both"/>
              <w:rPr>
                <w:rFonts w:ascii="Times New Roman" w:hAnsi="Times New Roman" w:cs="Times New Roman"/>
                <w:sz w:val="20"/>
              </w:rPr>
            </w:pPr>
            <w:r w:rsidRPr="00D85CE9">
              <w:rPr>
                <w:rFonts w:ascii="Times New Roman" w:hAnsi="Times New Roman" w:cs="Times New Roman"/>
                <w:sz w:val="20"/>
              </w:rPr>
              <w:t>Autorzy projektu wskazują, że aktualnie deweloperzy przekazują już dane do Ewidencji, prowadzonej na gruncie obecnie obowiązujących przepisów, co znaczy, że mają zapewnione automatyczne kanały komunikacji do zasilania Ewidencji. Rozszerzenie zakresu danych będzie więc szybsze i tańsze w realizacji niż konfiguracja integracji z nową infrastrukturą systemową.</w:t>
            </w:r>
          </w:p>
          <w:p w14:paraId="1017D692" w14:textId="77777777" w:rsidR="0099084C" w:rsidRPr="00D85CE9" w:rsidRDefault="0099084C" w:rsidP="0099084C">
            <w:pPr>
              <w:spacing w:before="120" w:after="120"/>
              <w:jc w:val="both"/>
              <w:rPr>
                <w:rFonts w:ascii="Times New Roman" w:hAnsi="Times New Roman" w:cs="Times New Roman"/>
                <w:sz w:val="20"/>
              </w:rPr>
            </w:pPr>
            <w:r w:rsidRPr="00D85CE9">
              <w:rPr>
                <w:rFonts w:ascii="Times New Roman" w:hAnsi="Times New Roman" w:cs="Times New Roman"/>
                <w:sz w:val="20"/>
              </w:rPr>
              <w:t>Zakres przekazywanych danych ma obejmować: rodzaj obiektu będącego przedmiotem umowy, cena lokalu / domu jednorodzinnego, jego powierzchnia użytkowa, liczba pokoi, kondygnacja nadziemna budynku, na której znajduje się lokal mieszkalny objęty umową oraz liczba kondygnacji tego budynku.</w:t>
            </w:r>
          </w:p>
          <w:p w14:paraId="61931F9D" w14:textId="7D8F5FB3" w:rsidR="0099084C" w:rsidRPr="00FF4480" w:rsidRDefault="0099084C" w:rsidP="0099084C">
            <w:pPr>
              <w:spacing w:before="120" w:after="120"/>
              <w:jc w:val="both"/>
              <w:rPr>
                <w:rFonts w:ascii="Times New Roman" w:hAnsi="Times New Roman" w:cs="Times New Roman"/>
                <w:sz w:val="20"/>
              </w:rPr>
            </w:pPr>
            <w:r w:rsidRPr="00D85CE9">
              <w:rPr>
                <w:rFonts w:ascii="Times New Roman" w:hAnsi="Times New Roman" w:cs="Times New Roman"/>
                <w:sz w:val="20"/>
              </w:rPr>
              <w:t>Raportowanie wskazanego zakresu będzie wymagało stworzenia nowych funkcjonalności systemów raportowania i dodatkowej obsługi ze strony dewelopera, co wiąże się z obowiązkiem ponoszenia dodatkowych kosztów oprócz składek DFG.</w:t>
            </w:r>
          </w:p>
        </w:tc>
        <w:tc>
          <w:tcPr>
            <w:tcW w:w="4160" w:type="dxa"/>
          </w:tcPr>
          <w:p w14:paraId="7B3795F2" w14:textId="5F333294" w:rsidR="00E420DE" w:rsidRPr="00E420DE" w:rsidRDefault="00E420DE" w:rsidP="0099084C">
            <w:pPr>
              <w:spacing w:before="120" w:after="120"/>
              <w:jc w:val="both"/>
              <w:rPr>
                <w:rFonts w:ascii="Times New Roman" w:hAnsi="Times New Roman" w:cs="Times New Roman"/>
                <w:sz w:val="20"/>
                <w:u w:val="single"/>
              </w:rPr>
            </w:pPr>
            <w:r w:rsidRPr="00E420DE">
              <w:rPr>
                <w:rFonts w:ascii="Times New Roman" w:hAnsi="Times New Roman" w:cs="Times New Roman"/>
                <w:sz w:val="20"/>
                <w:u w:val="single"/>
              </w:rPr>
              <w:t>Komentarz do uwagi</w:t>
            </w:r>
          </w:p>
          <w:p w14:paraId="0403AD79" w14:textId="5FF43DE3" w:rsidR="00E420DE" w:rsidRDefault="00943895" w:rsidP="0099084C">
            <w:pPr>
              <w:spacing w:before="120" w:after="120"/>
              <w:jc w:val="both"/>
              <w:rPr>
                <w:rFonts w:ascii="Times New Roman" w:hAnsi="Times New Roman" w:cs="Times New Roman"/>
                <w:sz w:val="20"/>
              </w:rPr>
            </w:pPr>
            <w:r>
              <w:rPr>
                <w:rFonts w:ascii="Times New Roman" w:hAnsi="Times New Roman" w:cs="Times New Roman"/>
                <w:sz w:val="20"/>
              </w:rPr>
              <w:t>Zgodnie z projektowaną ustawą s</w:t>
            </w:r>
            <w:r w:rsidR="00E420DE">
              <w:rPr>
                <w:rFonts w:ascii="Times New Roman" w:hAnsi="Times New Roman" w:cs="Times New Roman"/>
                <w:sz w:val="20"/>
              </w:rPr>
              <w:t>tworzenie odpowiednich funkcjonalności leży</w:t>
            </w:r>
            <w:r>
              <w:rPr>
                <w:rFonts w:ascii="Times New Roman" w:hAnsi="Times New Roman" w:cs="Times New Roman"/>
                <w:sz w:val="20"/>
              </w:rPr>
              <w:t>, co do zasady,</w:t>
            </w:r>
            <w:r w:rsidR="00E420DE">
              <w:rPr>
                <w:rFonts w:ascii="Times New Roman" w:hAnsi="Times New Roman" w:cs="Times New Roman"/>
                <w:sz w:val="20"/>
              </w:rPr>
              <w:t xml:space="preserve"> w gestii UFG, a nie podmiotów profesjonalnych zgłaszających dane i informacje.</w:t>
            </w:r>
          </w:p>
          <w:p w14:paraId="1D1373AA" w14:textId="76465E07" w:rsidR="00943895" w:rsidRDefault="00943895" w:rsidP="00943895">
            <w:pPr>
              <w:spacing w:before="120" w:after="120"/>
              <w:jc w:val="both"/>
              <w:rPr>
                <w:rFonts w:ascii="Times New Roman" w:hAnsi="Times New Roman" w:cs="Times New Roman"/>
                <w:sz w:val="20"/>
              </w:rPr>
            </w:pPr>
            <w:r>
              <w:rPr>
                <w:rFonts w:ascii="Times New Roman" w:hAnsi="Times New Roman" w:cs="Times New Roman"/>
                <w:sz w:val="20"/>
              </w:rPr>
              <w:t>Z informacji przekazanych przez Ubezpieczeniowy Fundusz Gwarancyjny w kontekście już dostępnej infrastruktury (tj. infrastruktury Ewidencji Deweloperskiego Funduszu Gwarancyjnego) wynika, że do Ewidencji „</w:t>
            </w:r>
            <w:r w:rsidRPr="00943895">
              <w:rPr>
                <w:rFonts w:ascii="Times New Roman" w:hAnsi="Times New Roman" w:cs="Times New Roman"/>
                <w:sz w:val="20"/>
              </w:rPr>
              <w:t xml:space="preserve">dane przekazywane są za pośrednictwem bezpłatnych formularzy. Dodatkowo (opcjonalnie) udostępnione są usługi sieciowe, które wymagają od przedsiębiorców </w:t>
            </w:r>
            <w:r>
              <w:rPr>
                <w:rFonts w:ascii="Times New Roman" w:hAnsi="Times New Roman" w:cs="Times New Roman"/>
                <w:sz w:val="20"/>
              </w:rPr>
              <w:t>–</w:t>
            </w:r>
            <w:r w:rsidRPr="00943895">
              <w:rPr>
                <w:rFonts w:ascii="Times New Roman" w:hAnsi="Times New Roman" w:cs="Times New Roman"/>
                <w:sz w:val="20"/>
              </w:rPr>
              <w:t xml:space="preserve"> deweloperów integracji z tymi usługami poprzez zbudowanie odpowiedniej infrastruktury </w:t>
            </w:r>
            <w:r>
              <w:rPr>
                <w:rFonts w:ascii="Times New Roman" w:hAnsi="Times New Roman" w:cs="Times New Roman"/>
                <w:sz w:val="20"/>
              </w:rPr>
              <w:t>–</w:t>
            </w:r>
            <w:r w:rsidRPr="00943895">
              <w:rPr>
                <w:rFonts w:ascii="Times New Roman" w:hAnsi="Times New Roman" w:cs="Times New Roman"/>
                <w:sz w:val="20"/>
              </w:rPr>
              <w:t xml:space="preserve"> usługi sieciowej, która pozwoli przesłać wymagane dane do Ewidencji DFG. </w:t>
            </w:r>
          </w:p>
          <w:p w14:paraId="71CA4462" w14:textId="77777777" w:rsidR="00943895" w:rsidRDefault="00943895" w:rsidP="0099084C">
            <w:pPr>
              <w:spacing w:before="120" w:after="120"/>
              <w:jc w:val="both"/>
              <w:rPr>
                <w:rFonts w:ascii="Times New Roman" w:hAnsi="Times New Roman" w:cs="Times New Roman"/>
                <w:sz w:val="20"/>
              </w:rPr>
            </w:pPr>
            <w:r w:rsidRPr="00943895">
              <w:rPr>
                <w:rFonts w:ascii="Times New Roman" w:hAnsi="Times New Roman" w:cs="Times New Roman"/>
                <w:sz w:val="20"/>
              </w:rPr>
              <w:t>Z usług sieciowych od momentu rozpoczęcia funkcjonowania Ewidencji DFG korzysta ok. 2% przedsiębiorców, którzy odpowiadają za przekazywanie ok. 25% wszystkich danych</w:t>
            </w:r>
            <w:r>
              <w:rPr>
                <w:rFonts w:ascii="Times New Roman" w:hAnsi="Times New Roman" w:cs="Times New Roman"/>
                <w:sz w:val="20"/>
              </w:rPr>
              <w:t>,</w:t>
            </w:r>
            <w:r w:rsidRPr="00943895">
              <w:rPr>
                <w:rFonts w:ascii="Times New Roman" w:hAnsi="Times New Roman" w:cs="Times New Roman"/>
                <w:sz w:val="20"/>
              </w:rPr>
              <w:t xml:space="preserve"> do których przekazywania są zobligowani. Pozostali przedsiębiorcy korzystają z bezpłatnych formularzy. </w:t>
            </w:r>
          </w:p>
          <w:p w14:paraId="33535A0C" w14:textId="182ACB7C" w:rsidR="00943895" w:rsidRDefault="00943895" w:rsidP="0099084C">
            <w:pPr>
              <w:spacing w:before="120" w:after="120"/>
              <w:jc w:val="both"/>
              <w:rPr>
                <w:rFonts w:ascii="Times New Roman" w:hAnsi="Times New Roman" w:cs="Times New Roman"/>
                <w:sz w:val="20"/>
              </w:rPr>
            </w:pPr>
            <w:r w:rsidRPr="00943895">
              <w:rPr>
                <w:rFonts w:ascii="Times New Roman" w:hAnsi="Times New Roman" w:cs="Times New Roman"/>
                <w:sz w:val="20"/>
              </w:rPr>
              <w:t>Podobne rozwiązanie będzie przewidziane w</w:t>
            </w:r>
            <w:r>
              <w:rPr>
                <w:rFonts w:ascii="Times New Roman" w:hAnsi="Times New Roman" w:cs="Times New Roman"/>
                <w:sz w:val="20"/>
              </w:rPr>
              <w:t> </w:t>
            </w:r>
            <w:r w:rsidRPr="00943895">
              <w:rPr>
                <w:rFonts w:ascii="Times New Roman" w:hAnsi="Times New Roman" w:cs="Times New Roman"/>
                <w:sz w:val="20"/>
              </w:rPr>
              <w:t>planowanym Portalu DOM.  Tym samym, zwiększenie zakresu przekazywanych do Ewidencji DFG danych nie wygeneruje dodatkowych kosztów dla przedsiębiorców przekazujących dane w oparciu o bezpłatne formularze, natomiast w przypadku przedsiębiorców przekazujących dane za</w:t>
            </w:r>
            <w:r>
              <w:rPr>
                <w:rFonts w:ascii="Times New Roman" w:hAnsi="Times New Roman" w:cs="Times New Roman"/>
                <w:sz w:val="20"/>
              </w:rPr>
              <w:t> </w:t>
            </w:r>
            <w:r w:rsidRPr="00943895">
              <w:rPr>
                <w:rFonts w:ascii="Times New Roman" w:hAnsi="Times New Roman" w:cs="Times New Roman"/>
                <w:sz w:val="20"/>
              </w:rPr>
              <w:t xml:space="preserve">pośrednictwem usług sieciowych rozszerzenie zakresu gromadzonych danych w Ewidencji DFG będzie wymagało od nich dostosowania już zbudowanej  infrastruktury </w:t>
            </w:r>
            <w:r>
              <w:rPr>
                <w:rFonts w:ascii="Times New Roman" w:hAnsi="Times New Roman" w:cs="Times New Roman"/>
                <w:sz w:val="20"/>
              </w:rPr>
              <w:t>–</w:t>
            </w:r>
            <w:r w:rsidRPr="00943895">
              <w:rPr>
                <w:rFonts w:ascii="Times New Roman" w:hAnsi="Times New Roman" w:cs="Times New Roman"/>
                <w:sz w:val="20"/>
              </w:rPr>
              <w:t xml:space="preserve"> usług sieciowych, </w:t>
            </w:r>
            <w:r w:rsidRPr="00943895">
              <w:rPr>
                <w:rFonts w:ascii="Times New Roman" w:hAnsi="Times New Roman" w:cs="Times New Roman"/>
                <w:sz w:val="20"/>
              </w:rPr>
              <w:lastRenderedPageBreak/>
              <w:t>co może wiązać się z dodatkowymi kosztami, jednak zdecydowanie niższymi niż budowa tych rozwiązań od początku, jak to miało miejsce podczas wdrażania systemu DFG w lipcu 2022 r.</w:t>
            </w:r>
          </w:p>
          <w:p w14:paraId="6430A3B9" w14:textId="1761EBF5" w:rsidR="0099084C" w:rsidRPr="00390843" w:rsidRDefault="00943895" w:rsidP="00943895">
            <w:pPr>
              <w:spacing w:before="120" w:after="120"/>
              <w:jc w:val="both"/>
              <w:rPr>
                <w:rFonts w:ascii="Times New Roman" w:hAnsi="Times New Roman" w:cs="Times New Roman"/>
                <w:sz w:val="20"/>
              </w:rPr>
            </w:pPr>
            <w:r w:rsidRPr="00943895">
              <w:rPr>
                <w:rFonts w:ascii="Times New Roman" w:hAnsi="Times New Roman" w:cs="Times New Roman"/>
                <w:sz w:val="20"/>
              </w:rPr>
              <w:t>Niemniej jednak należy zwrócić uwagę, że dostosowanie infrastruktury przez przedsiębiorców będzie miało także wymierne korzyści. Pozyskanie i dostęp do danych (statystyk) z rynku wymaga obecnie od przedsiębiorców – deweloperów ponoszenia kosztów, natomiast w przypadku powstania planowanego Portalu DOM koszt ten będzie ograniczony jedynie do jednorazowego dostosowania infrastruktury</w:t>
            </w:r>
            <w:r>
              <w:rPr>
                <w:rFonts w:ascii="Times New Roman" w:hAnsi="Times New Roman" w:cs="Times New Roman"/>
                <w:sz w:val="20"/>
              </w:rPr>
              <w:t>”.</w:t>
            </w:r>
          </w:p>
        </w:tc>
      </w:tr>
      <w:tr w:rsidR="0099084C" w:rsidRPr="00FF4480" w14:paraId="1CCDCD89" w14:textId="77777777" w:rsidTr="00E9565F">
        <w:trPr>
          <w:jc w:val="center"/>
        </w:trPr>
        <w:tc>
          <w:tcPr>
            <w:tcW w:w="554" w:type="dxa"/>
            <w:vAlign w:val="center"/>
          </w:tcPr>
          <w:p w14:paraId="0400006D"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0F1CFD8A" w14:textId="1EEED7FD" w:rsidR="0099084C" w:rsidRPr="00D85CE9" w:rsidRDefault="0099084C" w:rsidP="0099084C">
            <w:pPr>
              <w:spacing w:before="120" w:after="120"/>
              <w:rPr>
                <w:rFonts w:ascii="Times New Roman" w:hAnsi="Times New Roman" w:cs="Times New Roman"/>
                <w:sz w:val="20"/>
              </w:rPr>
            </w:pPr>
            <w:r>
              <w:rPr>
                <w:rFonts w:ascii="Times New Roman" w:hAnsi="Times New Roman" w:cs="Times New Roman"/>
                <w:sz w:val="20"/>
              </w:rPr>
              <w:t>Związek Banków Polskich</w:t>
            </w:r>
          </w:p>
        </w:tc>
        <w:tc>
          <w:tcPr>
            <w:tcW w:w="1905" w:type="dxa"/>
            <w:vAlign w:val="center"/>
          </w:tcPr>
          <w:p w14:paraId="6637437D" w14:textId="48EFF33F"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9-11</w:t>
            </w:r>
          </w:p>
        </w:tc>
        <w:tc>
          <w:tcPr>
            <w:tcW w:w="5670" w:type="dxa"/>
            <w:vAlign w:val="center"/>
          </w:tcPr>
          <w:p w14:paraId="712500A1" w14:textId="61B5C4E2" w:rsidR="0099084C" w:rsidRPr="00D85CE9" w:rsidRDefault="0099084C" w:rsidP="0099084C">
            <w:pPr>
              <w:spacing w:before="120" w:after="120"/>
              <w:jc w:val="both"/>
              <w:rPr>
                <w:rFonts w:ascii="Times New Roman" w:hAnsi="Times New Roman" w:cs="Times New Roman"/>
                <w:sz w:val="20"/>
              </w:rPr>
            </w:pPr>
            <w:r w:rsidRPr="00700EB3">
              <w:rPr>
                <w:rFonts w:ascii="Times New Roman" w:hAnsi="Times New Roman" w:cs="Times New Roman"/>
                <w:sz w:val="20"/>
              </w:rPr>
              <w:t>Wyjaśnienia dot. przetwarzania PESEL - informacja o PESEL nabywcy może zostać zastąpiona innymi informacjami, które zapewnią weryfikację liczby kupowanych nieruchomości</w:t>
            </w:r>
            <w:r>
              <w:rPr>
                <w:rFonts w:ascii="Times New Roman" w:hAnsi="Times New Roman" w:cs="Times New Roman"/>
                <w:sz w:val="20"/>
              </w:rPr>
              <w:t>.</w:t>
            </w:r>
          </w:p>
        </w:tc>
        <w:tc>
          <w:tcPr>
            <w:tcW w:w="4160" w:type="dxa"/>
          </w:tcPr>
          <w:p w14:paraId="30472187" w14:textId="77777777" w:rsidR="00E420DE" w:rsidRPr="00E420DE" w:rsidRDefault="00E420DE" w:rsidP="00E420DE">
            <w:pPr>
              <w:spacing w:before="120" w:after="120"/>
              <w:jc w:val="both"/>
              <w:rPr>
                <w:rFonts w:ascii="Times New Roman" w:hAnsi="Times New Roman" w:cs="Times New Roman"/>
                <w:sz w:val="20"/>
                <w:u w:val="single"/>
              </w:rPr>
            </w:pPr>
            <w:r w:rsidRPr="00E420DE">
              <w:rPr>
                <w:rFonts w:ascii="Times New Roman" w:hAnsi="Times New Roman" w:cs="Times New Roman"/>
                <w:sz w:val="20"/>
                <w:u w:val="single"/>
              </w:rPr>
              <w:t>Komentarz do uwagi</w:t>
            </w:r>
          </w:p>
          <w:p w14:paraId="11D979D4" w14:textId="499DA609" w:rsidR="0099084C" w:rsidRDefault="00E420DE" w:rsidP="0099084C">
            <w:pPr>
              <w:spacing w:before="120" w:after="120"/>
              <w:jc w:val="both"/>
              <w:rPr>
                <w:rFonts w:ascii="Times New Roman" w:hAnsi="Times New Roman" w:cs="Times New Roman"/>
                <w:sz w:val="20"/>
              </w:rPr>
            </w:pPr>
            <w:r>
              <w:rPr>
                <w:rFonts w:ascii="Times New Roman" w:hAnsi="Times New Roman" w:cs="Times New Roman"/>
                <w:sz w:val="20"/>
              </w:rPr>
              <w:t xml:space="preserve">W ocenie projektodawcy taką daną jest PESEL. Trudno odnieść się do tej uwagi, gdyż ZBP nie przedstawił przykładów </w:t>
            </w:r>
            <w:r w:rsidR="0036137B">
              <w:rPr>
                <w:rFonts w:ascii="Times New Roman" w:hAnsi="Times New Roman" w:cs="Times New Roman"/>
                <w:sz w:val="20"/>
              </w:rPr>
              <w:t>informacji, które mogłyby zastąpić w zarysowanym kontekście numer PESEL.</w:t>
            </w:r>
          </w:p>
          <w:p w14:paraId="163A942C" w14:textId="77777777" w:rsidR="00E420DE" w:rsidRDefault="00E420DE" w:rsidP="0099084C">
            <w:pPr>
              <w:spacing w:before="120" w:after="120"/>
              <w:jc w:val="both"/>
              <w:rPr>
                <w:rFonts w:ascii="Times New Roman" w:hAnsi="Times New Roman" w:cs="Times New Roman"/>
                <w:sz w:val="20"/>
              </w:rPr>
            </w:pPr>
            <w:r>
              <w:rPr>
                <w:rFonts w:ascii="Times New Roman" w:hAnsi="Times New Roman" w:cs="Times New Roman"/>
                <w:sz w:val="20"/>
              </w:rPr>
              <w:t>Ponadto zapewnienie działania mechanizmu ochrony stron transakcji jest tylko jednym ze wskazanych w uzasadnieniu do projektu celów przetwarzania tej danej.</w:t>
            </w:r>
          </w:p>
          <w:p w14:paraId="339601BF" w14:textId="25CD4117" w:rsidR="00CB2DB6" w:rsidRPr="00390843" w:rsidRDefault="00CB2DB6" w:rsidP="0099084C">
            <w:pPr>
              <w:spacing w:before="120" w:after="120"/>
              <w:jc w:val="both"/>
              <w:rPr>
                <w:rFonts w:ascii="Times New Roman" w:hAnsi="Times New Roman" w:cs="Times New Roman"/>
                <w:sz w:val="20"/>
              </w:rPr>
            </w:pPr>
          </w:p>
        </w:tc>
      </w:tr>
      <w:tr w:rsidR="0099084C" w:rsidRPr="00FF4480" w14:paraId="2CDF0161" w14:textId="77777777" w:rsidTr="00E9565F">
        <w:trPr>
          <w:jc w:val="center"/>
        </w:trPr>
        <w:tc>
          <w:tcPr>
            <w:tcW w:w="554" w:type="dxa"/>
            <w:vAlign w:val="center"/>
          </w:tcPr>
          <w:p w14:paraId="2E700A0E"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1B3E8485" w14:textId="2DEEED72" w:rsidR="0099084C" w:rsidRPr="00FF4480" w:rsidRDefault="0099084C" w:rsidP="0099084C">
            <w:pPr>
              <w:spacing w:before="120" w:after="120"/>
              <w:rPr>
                <w:rFonts w:ascii="Times New Roman" w:hAnsi="Times New Roman" w:cs="Times New Roman"/>
                <w:sz w:val="20"/>
              </w:rPr>
            </w:pPr>
            <w:r w:rsidRPr="00DC592D">
              <w:rPr>
                <w:rFonts w:ascii="Times New Roman" w:hAnsi="Times New Roman" w:cs="Times New Roman"/>
                <w:sz w:val="20"/>
              </w:rPr>
              <w:t>Stowarzyszenie Notariuszy RP</w:t>
            </w:r>
          </w:p>
        </w:tc>
        <w:tc>
          <w:tcPr>
            <w:tcW w:w="1905" w:type="dxa"/>
            <w:vAlign w:val="center"/>
          </w:tcPr>
          <w:p w14:paraId="486E9617" w14:textId="1DF37B59" w:rsidR="0099084C" w:rsidRPr="00FF4480"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19-20</w:t>
            </w:r>
          </w:p>
        </w:tc>
        <w:tc>
          <w:tcPr>
            <w:tcW w:w="5670" w:type="dxa"/>
            <w:vAlign w:val="center"/>
          </w:tcPr>
          <w:p w14:paraId="2010EFE6" w14:textId="77777777" w:rsidR="0099084C" w:rsidRPr="00FF5538" w:rsidRDefault="0099084C" w:rsidP="0099084C">
            <w:pPr>
              <w:spacing w:before="120" w:after="120"/>
              <w:jc w:val="both"/>
              <w:rPr>
                <w:rFonts w:ascii="Times New Roman" w:hAnsi="Times New Roman" w:cs="Times New Roman"/>
                <w:sz w:val="20"/>
              </w:rPr>
            </w:pPr>
            <w:r w:rsidRPr="00FF5538">
              <w:rPr>
                <w:rFonts w:ascii="Times New Roman" w:hAnsi="Times New Roman" w:cs="Times New Roman"/>
                <w:sz w:val="20"/>
              </w:rPr>
              <w:t>W uzasadnieniu co prawda wskazano potrzeby prowadzenia rejestru notariuszy w sposób szerszy nich dotychczasowo (na potrzeby systemów KAS), ale brak wyjaśnienia dla postulowanego upublicznienia tego rejestru.</w:t>
            </w:r>
          </w:p>
          <w:p w14:paraId="5580DDE6" w14:textId="44CFFF74" w:rsidR="0099084C" w:rsidRPr="00FF4480" w:rsidRDefault="0099084C" w:rsidP="0099084C">
            <w:pPr>
              <w:spacing w:before="120" w:after="120"/>
              <w:jc w:val="both"/>
              <w:rPr>
                <w:rFonts w:ascii="Times New Roman" w:hAnsi="Times New Roman" w:cs="Times New Roman"/>
                <w:sz w:val="20"/>
              </w:rPr>
            </w:pPr>
            <w:r w:rsidRPr="00FF5538">
              <w:rPr>
                <w:rFonts w:ascii="Times New Roman" w:hAnsi="Times New Roman" w:cs="Times New Roman"/>
                <w:sz w:val="20"/>
              </w:rPr>
              <w:t xml:space="preserve">Podany w Uzasadnieniu cel wprowadzenia zmiany tj.: „prawidłowa i szybka identyfikacja osób oraz ich uprawnień wypełniających obowiązek informacyjny, o którym mowa w art. 84a ustawy z dnia 29 sierpnia 1997 r. – Ordynacja podatkowa (Dz. U. z 2023 r. poz. 2386, z późn.zm.).” jest niezrozumiały i niczym nieuzasadniony. Z </w:t>
            </w:r>
            <w:r w:rsidRPr="00FF5538">
              <w:rPr>
                <w:rFonts w:ascii="Times New Roman" w:hAnsi="Times New Roman" w:cs="Times New Roman"/>
                <w:sz w:val="20"/>
              </w:rPr>
              <w:lastRenderedPageBreak/>
              <w:t>całą mocą należy podkreślić, że zadaniem Szefa KAS nie jest identyfikacja i ocena czy osoba uprawniona dokonała czynności notarialnej (od tego są organa nadzorcze), ale czy dokonana czynność z punktu widzenia obowiązków podatkowych została dokonana prawidłowo, a należne podatki zostały pobrane należycie i odprowadzone. Zaś argument, że dane co do osoby dokonującej czynności będą musiały być „manualnie” weryfikowane przez Szefa KAS (jego urzędników) w ogóle nie ma jakiegokolwiek uzasadnienia. Zupełnie na marginesie warto zadać pytanie o to czy ktoś zastanawia się nad tym jak notariusz wprowadza wszystkie dane do systemu? Odpowiedź jest podobna – manualnie; nie pobierając za dostarczanie tych danych i biurową obsługę osobowo-systemową jakichkolwiek należności, natomiast ponosząc z tego tytułu pełną odpowiedzialność zarówno dyscyplinarną, jak i karną oraz finansową.</w:t>
            </w:r>
          </w:p>
        </w:tc>
        <w:tc>
          <w:tcPr>
            <w:tcW w:w="4160" w:type="dxa"/>
          </w:tcPr>
          <w:p w14:paraId="5DCBDC4A" w14:textId="49BCFDB0" w:rsidR="0099084C" w:rsidRDefault="002F5BC2" w:rsidP="0099084C">
            <w:pPr>
              <w:spacing w:before="120" w:after="120"/>
              <w:jc w:val="both"/>
              <w:rPr>
                <w:rFonts w:ascii="Times New Roman" w:hAnsi="Times New Roman" w:cs="Times New Roman"/>
                <w:sz w:val="20"/>
                <w:u w:val="single"/>
              </w:rPr>
            </w:pPr>
            <w:r w:rsidRPr="002F5BC2">
              <w:rPr>
                <w:rFonts w:ascii="Times New Roman" w:hAnsi="Times New Roman" w:cs="Times New Roman"/>
                <w:sz w:val="20"/>
                <w:u w:val="single"/>
              </w:rPr>
              <w:lastRenderedPageBreak/>
              <w:t>Komentarz do uwagi</w:t>
            </w:r>
          </w:p>
          <w:p w14:paraId="478A192B" w14:textId="2190EFD4" w:rsidR="002F5BC2" w:rsidRPr="002F5BC2" w:rsidRDefault="002F5BC2" w:rsidP="0099084C">
            <w:pPr>
              <w:spacing w:before="120" w:after="120"/>
              <w:jc w:val="both"/>
              <w:rPr>
                <w:rFonts w:ascii="Times New Roman" w:hAnsi="Times New Roman" w:cs="Times New Roman"/>
                <w:sz w:val="20"/>
              </w:rPr>
            </w:pPr>
            <w:r w:rsidRPr="002F5BC2">
              <w:rPr>
                <w:rFonts w:ascii="Times New Roman" w:hAnsi="Times New Roman" w:cs="Times New Roman"/>
                <w:sz w:val="20"/>
              </w:rPr>
              <w:t>W związku z wykreśleniem przepisu dotyczącego upublicznienia listy uwaga stała się bezprzedmiotowa.</w:t>
            </w:r>
          </w:p>
          <w:p w14:paraId="7A413B5D" w14:textId="68E544A1" w:rsidR="00AB6BFB" w:rsidRPr="0059373D" w:rsidRDefault="00AB6BFB" w:rsidP="00AB6BFB">
            <w:pPr>
              <w:spacing w:before="120" w:after="120"/>
              <w:jc w:val="both"/>
              <w:rPr>
                <w:rFonts w:ascii="Times New Roman" w:hAnsi="Times New Roman" w:cs="Times New Roman"/>
                <w:sz w:val="20"/>
              </w:rPr>
            </w:pPr>
            <w:r w:rsidRPr="0059373D">
              <w:rPr>
                <w:rFonts w:ascii="Times New Roman" w:hAnsi="Times New Roman" w:cs="Times New Roman"/>
                <w:sz w:val="20"/>
              </w:rPr>
              <w:t>Odnosząc się do uwagi, zgodnie z którą Szef KAS nie jest uprawniony do oceny, czy odpowiednia osoba dokonała czynności notarialnej</w:t>
            </w:r>
            <w:r w:rsidR="002F5BC2" w:rsidRPr="0059373D">
              <w:rPr>
                <w:rFonts w:ascii="Times New Roman" w:hAnsi="Times New Roman" w:cs="Times New Roman"/>
                <w:sz w:val="20"/>
              </w:rPr>
              <w:t>,</w:t>
            </w:r>
            <w:r w:rsidRPr="0059373D">
              <w:rPr>
                <w:rFonts w:ascii="Times New Roman" w:hAnsi="Times New Roman" w:cs="Times New Roman"/>
                <w:sz w:val="20"/>
              </w:rPr>
              <w:t xml:space="preserve"> należy </w:t>
            </w:r>
            <w:r w:rsidR="002F5BC2" w:rsidRPr="0059373D">
              <w:rPr>
                <w:rFonts w:ascii="Times New Roman" w:hAnsi="Times New Roman" w:cs="Times New Roman"/>
                <w:sz w:val="20"/>
              </w:rPr>
              <w:t xml:space="preserve">za stanowiskiem MF </w:t>
            </w:r>
            <w:r w:rsidRPr="0059373D">
              <w:rPr>
                <w:rFonts w:ascii="Times New Roman" w:hAnsi="Times New Roman" w:cs="Times New Roman"/>
                <w:sz w:val="20"/>
              </w:rPr>
              <w:t xml:space="preserve">podkreślić, że </w:t>
            </w:r>
            <w:r w:rsidR="002F5BC2" w:rsidRPr="0059373D">
              <w:rPr>
                <w:rFonts w:ascii="Times New Roman" w:hAnsi="Times New Roman" w:cs="Times New Roman"/>
                <w:sz w:val="20"/>
              </w:rPr>
              <w:t>„</w:t>
            </w:r>
            <w:r w:rsidRPr="0059373D">
              <w:rPr>
                <w:rFonts w:ascii="Times New Roman" w:hAnsi="Times New Roman" w:cs="Times New Roman"/>
                <w:sz w:val="20"/>
              </w:rPr>
              <w:t xml:space="preserve">projektowane zmiany nie wprowadzają nowego zadania dla </w:t>
            </w:r>
            <w:r w:rsidRPr="0059373D">
              <w:rPr>
                <w:rFonts w:ascii="Times New Roman" w:hAnsi="Times New Roman" w:cs="Times New Roman"/>
                <w:sz w:val="20"/>
              </w:rPr>
              <w:lastRenderedPageBreak/>
              <w:t xml:space="preserve">Szefa KAS, polegającego na sprawowaniu nadzoru nad notariuszami. Problem, który powinien być </w:t>
            </w:r>
            <w:r w:rsidR="0059373D" w:rsidRPr="0059373D">
              <w:rPr>
                <w:rFonts w:ascii="Times New Roman" w:hAnsi="Times New Roman" w:cs="Times New Roman"/>
                <w:i/>
                <w:iCs/>
                <w:sz w:val="20"/>
              </w:rPr>
              <w:t xml:space="preserve">[dzięki proponowanym zmianom – przyp. </w:t>
            </w:r>
            <w:proofErr w:type="spellStart"/>
            <w:r w:rsidR="0059373D" w:rsidRPr="0059373D">
              <w:rPr>
                <w:rFonts w:ascii="Times New Roman" w:hAnsi="Times New Roman" w:cs="Times New Roman"/>
                <w:i/>
                <w:iCs/>
                <w:sz w:val="20"/>
              </w:rPr>
              <w:t>MRiT</w:t>
            </w:r>
            <w:proofErr w:type="spellEnd"/>
            <w:r w:rsidR="0059373D" w:rsidRPr="0059373D">
              <w:rPr>
                <w:rFonts w:ascii="Times New Roman" w:hAnsi="Times New Roman" w:cs="Times New Roman"/>
                <w:i/>
                <w:iCs/>
                <w:sz w:val="20"/>
              </w:rPr>
              <w:t>]</w:t>
            </w:r>
            <w:r w:rsidR="0059373D" w:rsidRPr="0059373D">
              <w:rPr>
                <w:rFonts w:ascii="Times New Roman" w:hAnsi="Times New Roman" w:cs="Times New Roman"/>
                <w:sz w:val="20"/>
              </w:rPr>
              <w:t xml:space="preserve"> </w:t>
            </w:r>
            <w:r w:rsidRPr="0059373D">
              <w:rPr>
                <w:rFonts w:ascii="Times New Roman" w:hAnsi="Times New Roman" w:cs="Times New Roman"/>
                <w:sz w:val="20"/>
              </w:rPr>
              <w:t>rozwiązany</w:t>
            </w:r>
            <w:r w:rsidR="0059373D" w:rsidRPr="0059373D">
              <w:rPr>
                <w:rFonts w:ascii="Times New Roman" w:hAnsi="Times New Roman" w:cs="Times New Roman"/>
                <w:sz w:val="20"/>
              </w:rPr>
              <w:t>,</w:t>
            </w:r>
            <w:r w:rsidRPr="0059373D">
              <w:rPr>
                <w:rFonts w:ascii="Times New Roman" w:hAnsi="Times New Roman" w:cs="Times New Roman"/>
                <w:sz w:val="20"/>
              </w:rPr>
              <w:t xml:space="preserve"> dotyczy zapewnienia bezpieczeństwa informacji poprzez identyfikację osoby dokonującej czynności notarialnej. Dotychczasowa praktyka działania systemu i</w:t>
            </w:r>
            <w:r w:rsidR="0059373D" w:rsidRPr="0059373D">
              <w:rPr>
                <w:rFonts w:ascii="Times New Roman" w:hAnsi="Times New Roman" w:cs="Times New Roman"/>
                <w:sz w:val="20"/>
              </w:rPr>
              <w:t> </w:t>
            </w:r>
            <w:r w:rsidRPr="0059373D">
              <w:rPr>
                <w:rFonts w:ascii="Times New Roman" w:hAnsi="Times New Roman" w:cs="Times New Roman"/>
                <w:sz w:val="20"/>
              </w:rPr>
              <w:t xml:space="preserve">wiążące się z tym incydenty naruszenia bezpieczeństwa wskazują na potrzebę wyeliminowania przypadków manualnej weryfikacji notariusza. Należy podkreślić, że rocznie do systemu Centralny Rejestr Czynności Majątkowych jest przekazywane ok 1,6 mln aktów notarialnych. Te dokumenty są udostępniane w e-Urzędzie Skarbowym przy użyciu aplikacji </w:t>
            </w:r>
            <w:proofErr w:type="spellStart"/>
            <w:r w:rsidRPr="0059373D">
              <w:rPr>
                <w:rFonts w:ascii="Times New Roman" w:hAnsi="Times New Roman" w:cs="Times New Roman"/>
                <w:sz w:val="20"/>
              </w:rPr>
              <w:t>mObywatel</w:t>
            </w:r>
            <w:proofErr w:type="spellEnd"/>
            <w:r w:rsidRPr="0059373D">
              <w:rPr>
                <w:rFonts w:ascii="Times New Roman" w:hAnsi="Times New Roman" w:cs="Times New Roman"/>
                <w:sz w:val="20"/>
              </w:rPr>
              <w:t>.</w:t>
            </w:r>
          </w:p>
          <w:p w14:paraId="4BCDAFD3" w14:textId="6D9A6142" w:rsidR="000F0F85" w:rsidRPr="00390843" w:rsidRDefault="00AB6BFB" w:rsidP="0099084C">
            <w:pPr>
              <w:spacing w:before="120" w:after="120"/>
              <w:jc w:val="both"/>
              <w:rPr>
                <w:rFonts w:ascii="Times New Roman" w:hAnsi="Times New Roman" w:cs="Times New Roman"/>
                <w:sz w:val="20"/>
              </w:rPr>
            </w:pPr>
            <w:r w:rsidRPr="0059373D">
              <w:rPr>
                <w:rFonts w:ascii="Times New Roman" w:hAnsi="Times New Roman" w:cs="Times New Roman"/>
                <w:sz w:val="20"/>
              </w:rPr>
              <w:t>W postępowaniach wyjaśniających i</w:t>
            </w:r>
            <w:r w:rsidR="0059373D" w:rsidRPr="0059373D">
              <w:rPr>
                <w:rFonts w:ascii="Times New Roman" w:hAnsi="Times New Roman" w:cs="Times New Roman"/>
                <w:sz w:val="20"/>
              </w:rPr>
              <w:t> </w:t>
            </w:r>
            <w:r w:rsidRPr="0059373D">
              <w:rPr>
                <w:rFonts w:ascii="Times New Roman" w:hAnsi="Times New Roman" w:cs="Times New Roman"/>
                <w:sz w:val="20"/>
              </w:rPr>
              <w:t>podatkowych weryfikowane są tylko sprawy dotyczące różnic w wysokości podatków. Zatem walidacja danych jest niezbędna dla zapewnienia bezpieczeństwa informacji</w:t>
            </w:r>
            <w:r w:rsidR="002F5BC2" w:rsidRPr="0059373D">
              <w:rPr>
                <w:rFonts w:ascii="Times New Roman" w:hAnsi="Times New Roman" w:cs="Times New Roman"/>
                <w:sz w:val="20"/>
              </w:rPr>
              <w:t>”.</w:t>
            </w:r>
          </w:p>
        </w:tc>
      </w:tr>
      <w:tr w:rsidR="0099084C" w:rsidRPr="00FF4480" w14:paraId="6CCFDA57" w14:textId="77777777" w:rsidTr="00E9565F">
        <w:trPr>
          <w:jc w:val="center"/>
        </w:trPr>
        <w:tc>
          <w:tcPr>
            <w:tcW w:w="554" w:type="dxa"/>
            <w:vAlign w:val="center"/>
          </w:tcPr>
          <w:p w14:paraId="7DE72F47"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290DBE1D" w14:textId="72DFD62A" w:rsidR="0099084C" w:rsidRPr="00FF4480" w:rsidRDefault="0099084C" w:rsidP="0099084C">
            <w:pPr>
              <w:spacing w:before="120" w:after="120"/>
              <w:rPr>
                <w:rFonts w:ascii="Times New Roman" w:hAnsi="Times New Roman" w:cs="Times New Roman"/>
                <w:sz w:val="20"/>
              </w:rPr>
            </w:pPr>
            <w:r w:rsidRPr="00FF5538">
              <w:rPr>
                <w:rFonts w:ascii="Times New Roman" w:hAnsi="Times New Roman" w:cs="Times New Roman"/>
                <w:sz w:val="20"/>
              </w:rPr>
              <w:t>Stowarzyszenie Notariuszy RP</w:t>
            </w:r>
          </w:p>
        </w:tc>
        <w:tc>
          <w:tcPr>
            <w:tcW w:w="1905" w:type="dxa"/>
            <w:vAlign w:val="center"/>
          </w:tcPr>
          <w:p w14:paraId="0F433A2D" w14:textId="678A6D72" w:rsidR="0099084C" w:rsidRPr="00FF4480"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20</w:t>
            </w:r>
          </w:p>
        </w:tc>
        <w:tc>
          <w:tcPr>
            <w:tcW w:w="5670" w:type="dxa"/>
            <w:vAlign w:val="center"/>
          </w:tcPr>
          <w:p w14:paraId="211B8972" w14:textId="210BFA02" w:rsidR="0099084C" w:rsidRPr="00FF4480" w:rsidRDefault="0099084C" w:rsidP="0099084C">
            <w:pPr>
              <w:spacing w:before="120" w:after="120"/>
              <w:rPr>
                <w:rFonts w:ascii="Times New Roman" w:hAnsi="Times New Roman" w:cs="Times New Roman"/>
                <w:sz w:val="20"/>
              </w:rPr>
            </w:pPr>
            <w:r w:rsidRPr="00FF5538">
              <w:rPr>
                <w:rFonts w:ascii="Times New Roman" w:hAnsi="Times New Roman" w:cs="Times New Roman"/>
                <w:sz w:val="20"/>
              </w:rPr>
              <w:t>Z uwagi na lakoniczność Uzasadnienia do art. 4 uwagi zawarte w części „Uwagi do projektu ustawy” odnoszą się także do niniejszej części.</w:t>
            </w:r>
          </w:p>
        </w:tc>
        <w:tc>
          <w:tcPr>
            <w:tcW w:w="4160" w:type="dxa"/>
          </w:tcPr>
          <w:p w14:paraId="5C85BBA3" w14:textId="77777777" w:rsidR="0099084C" w:rsidRPr="00CB50D2" w:rsidRDefault="00CB50D2" w:rsidP="0099084C">
            <w:pPr>
              <w:spacing w:before="120" w:after="120"/>
              <w:jc w:val="both"/>
              <w:rPr>
                <w:rFonts w:ascii="Times New Roman" w:hAnsi="Times New Roman" w:cs="Times New Roman"/>
                <w:sz w:val="20"/>
                <w:u w:val="single"/>
              </w:rPr>
            </w:pPr>
            <w:r w:rsidRPr="00CB50D2">
              <w:rPr>
                <w:rFonts w:ascii="Times New Roman" w:hAnsi="Times New Roman" w:cs="Times New Roman"/>
                <w:sz w:val="20"/>
                <w:u w:val="single"/>
              </w:rPr>
              <w:t>Komentarz do uwagi</w:t>
            </w:r>
          </w:p>
          <w:p w14:paraId="38749DA0" w14:textId="0B4F6969" w:rsidR="00CB50D2" w:rsidRPr="00390843" w:rsidRDefault="00CB50D2" w:rsidP="0099084C">
            <w:pPr>
              <w:spacing w:before="120" w:after="120"/>
              <w:jc w:val="both"/>
              <w:rPr>
                <w:rFonts w:ascii="Times New Roman" w:hAnsi="Times New Roman" w:cs="Times New Roman"/>
                <w:sz w:val="20"/>
              </w:rPr>
            </w:pPr>
            <w:r>
              <w:rPr>
                <w:rFonts w:ascii="Times New Roman" w:hAnsi="Times New Roman" w:cs="Times New Roman"/>
                <w:sz w:val="20"/>
              </w:rPr>
              <w:t>Odpowiedź została udzielona w kontekście przywołanej przez Stowarzyszenie części.</w:t>
            </w:r>
          </w:p>
        </w:tc>
      </w:tr>
      <w:tr w:rsidR="0099084C" w:rsidRPr="00FF4480" w14:paraId="35C776C6" w14:textId="77777777" w:rsidTr="00E9565F">
        <w:trPr>
          <w:jc w:val="center"/>
        </w:trPr>
        <w:tc>
          <w:tcPr>
            <w:tcW w:w="554" w:type="dxa"/>
            <w:vAlign w:val="center"/>
          </w:tcPr>
          <w:p w14:paraId="131E1BEC"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0521E1DD" w14:textId="363E4483" w:rsidR="0099084C" w:rsidRPr="00FF5538" w:rsidRDefault="0099084C" w:rsidP="0099084C">
            <w:pPr>
              <w:spacing w:before="120" w:after="120"/>
              <w:rPr>
                <w:rFonts w:ascii="Times New Roman" w:hAnsi="Times New Roman" w:cs="Times New Roman"/>
                <w:sz w:val="20"/>
              </w:rPr>
            </w:pPr>
            <w:r w:rsidRPr="00FF5538">
              <w:rPr>
                <w:rFonts w:ascii="Times New Roman" w:hAnsi="Times New Roman" w:cs="Times New Roman"/>
                <w:sz w:val="20"/>
              </w:rPr>
              <w:t>Stowarzyszenie Notariuszy RP</w:t>
            </w:r>
          </w:p>
        </w:tc>
        <w:tc>
          <w:tcPr>
            <w:tcW w:w="1905" w:type="dxa"/>
            <w:vAlign w:val="center"/>
          </w:tcPr>
          <w:p w14:paraId="7FE28671" w14:textId="14BBEFB2"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20</w:t>
            </w:r>
          </w:p>
        </w:tc>
        <w:tc>
          <w:tcPr>
            <w:tcW w:w="5670" w:type="dxa"/>
            <w:vAlign w:val="center"/>
          </w:tcPr>
          <w:p w14:paraId="304C8EDE" w14:textId="10811596" w:rsidR="0099084C" w:rsidRPr="00FF5538" w:rsidRDefault="0099084C" w:rsidP="0099084C">
            <w:pPr>
              <w:spacing w:before="120" w:after="120"/>
              <w:jc w:val="both"/>
              <w:rPr>
                <w:rFonts w:ascii="Times New Roman" w:hAnsi="Times New Roman" w:cs="Times New Roman"/>
                <w:sz w:val="20"/>
              </w:rPr>
            </w:pPr>
            <w:r w:rsidRPr="00FF5538">
              <w:rPr>
                <w:rFonts w:ascii="Times New Roman" w:hAnsi="Times New Roman" w:cs="Times New Roman"/>
                <w:sz w:val="20"/>
              </w:rPr>
              <w:t>Projektodawca w Uzasadnieniu do art.6 Projektu pisze, że „nakład pracy powinien być zrekompensowany większą liczbą obsługiwanych transakcji a co za tym idzie wyższymi przychodami”. Takie sformułowanie mogłoby być słuszne, gdyby za wprowadzeniem regulacji szło wprowadzenie dodatkowych czynności notarialnych sensu stricto. Samo zwiększenie sprawozdawczości nie wpływa na zwiększenie liczby czynności i jest sformułowaniem wręcz obraźliwym. Na mikro przedsiębiorcę (notariusza) zostaje nałożony</w:t>
            </w:r>
            <w:r>
              <w:rPr>
                <w:rFonts w:ascii="Times New Roman" w:hAnsi="Times New Roman" w:cs="Times New Roman"/>
                <w:sz w:val="20"/>
              </w:rPr>
              <w:t xml:space="preserve"> </w:t>
            </w:r>
            <w:r w:rsidRPr="00FF5538">
              <w:rPr>
                <w:rFonts w:ascii="Times New Roman" w:hAnsi="Times New Roman" w:cs="Times New Roman"/>
                <w:sz w:val="20"/>
              </w:rPr>
              <w:t>obowiązek obciążający wcześniej administrację publiczną bez zapewnienia dla notariusza finansowania dodatkowych obowiązków jest nadużyciem prawa.</w:t>
            </w:r>
          </w:p>
        </w:tc>
        <w:tc>
          <w:tcPr>
            <w:tcW w:w="4160" w:type="dxa"/>
          </w:tcPr>
          <w:p w14:paraId="431C6F00" w14:textId="77777777" w:rsidR="0099084C" w:rsidRDefault="00455ADA" w:rsidP="0099084C">
            <w:pPr>
              <w:spacing w:before="120" w:after="120"/>
              <w:jc w:val="both"/>
              <w:rPr>
                <w:rFonts w:ascii="Times New Roman" w:hAnsi="Times New Roman" w:cs="Times New Roman"/>
                <w:color w:val="0070C0"/>
                <w:sz w:val="20"/>
              </w:rPr>
            </w:pPr>
            <w:r w:rsidRPr="00455ADA">
              <w:rPr>
                <w:rFonts w:ascii="Times New Roman" w:hAnsi="Times New Roman" w:cs="Times New Roman"/>
                <w:color w:val="0070C0"/>
                <w:sz w:val="20"/>
              </w:rPr>
              <w:t>Uwaga uwzględniona</w:t>
            </w:r>
          </w:p>
          <w:p w14:paraId="39747DCD" w14:textId="77777777" w:rsidR="00455ADA" w:rsidRDefault="00455ADA" w:rsidP="0099084C">
            <w:pPr>
              <w:spacing w:before="120" w:after="120"/>
              <w:jc w:val="both"/>
              <w:rPr>
                <w:rFonts w:ascii="Times New Roman" w:hAnsi="Times New Roman" w:cs="Times New Roman"/>
                <w:sz w:val="20"/>
              </w:rPr>
            </w:pPr>
            <w:r w:rsidRPr="00455ADA">
              <w:rPr>
                <w:rFonts w:ascii="Times New Roman" w:hAnsi="Times New Roman" w:cs="Times New Roman"/>
                <w:sz w:val="20"/>
              </w:rPr>
              <w:t>Zapis został wykreślony.</w:t>
            </w:r>
          </w:p>
          <w:p w14:paraId="0411B132" w14:textId="57D1B5DD" w:rsidR="00B813EF" w:rsidRPr="00390843" w:rsidRDefault="00455ADA" w:rsidP="0099084C">
            <w:pPr>
              <w:spacing w:before="120" w:after="120"/>
              <w:jc w:val="both"/>
              <w:rPr>
                <w:rFonts w:ascii="Times New Roman" w:hAnsi="Times New Roman" w:cs="Times New Roman"/>
                <w:sz w:val="20"/>
              </w:rPr>
            </w:pPr>
            <w:r>
              <w:rPr>
                <w:rFonts w:ascii="Times New Roman" w:hAnsi="Times New Roman" w:cs="Times New Roman"/>
                <w:sz w:val="20"/>
              </w:rPr>
              <w:t xml:space="preserve">Na marginesie należy jednak zauważyć, że </w:t>
            </w:r>
            <w:r w:rsidR="009E4AFC">
              <w:rPr>
                <w:rFonts w:ascii="Times New Roman" w:hAnsi="Times New Roman" w:cs="Times New Roman"/>
                <w:sz w:val="20"/>
              </w:rPr>
              <w:t>w projekcie nie proponuje się nałożenia na notariuszy obowiązku dokonania nowej czynności, ale rozszerza się zakres danych sprawozdawanych w ramach obwiązującej już ich czynności.</w:t>
            </w:r>
            <w:r w:rsidR="00E41B91">
              <w:rPr>
                <w:rFonts w:ascii="Times New Roman" w:hAnsi="Times New Roman" w:cs="Times New Roman"/>
                <w:sz w:val="20"/>
              </w:rPr>
              <w:t xml:space="preserve"> Rozszerzenie to obejmuje jedynie 5 kategorii danych,</w:t>
            </w:r>
            <w:r w:rsidR="00602E06">
              <w:t xml:space="preserve"> </w:t>
            </w:r>
            <w:r w:rsidR="00602E06" w:rsidRPr="00602E06">
              <w:rPr>
                <w:rFonts w:ascii="Times New Roman" w:hAnsi="Times New Roman" w:cs="Times New Roman"/>
                <w:sz w:val="20"/>
              </w:rPr>
              <w:t>łatwych do identyfikacji w</w:t>
            </w:r>
            <w:r w:rsidR="00602E06">
              <w:rPr>
                <w:rFonts w:ascii="Times New Roman" w:hAnsi="Times New Roman" w:cs="Times New Roman"/>
                <w:sz w:val="20"/>
              </w:rPr>
              <w:t> </w:t>
            </w:r>
            <w:r w:rsidR="00602E06" w:rsidRPr="00602E06">
              <w:rPr>
                <w:rFonts w:ascii="Times New Roman" w:hAnsi="Times New Roman" w:cs="Times New Roman"/>
                <w:sz w:val="20"/>
              </w:rPr>
              <w:t xml:space="preserve">ramach sporządzanego aktu notarialnego, </w:t>
            </w:r>
            <w:r w:rsidR="00E41B91">
              <w:rPr>
                <w:rFonts w:ascii="Times New Roman" w:hAnsi="Times New Roman" w:cs="Times New Roman"/>
                <w:sz w:val="20"/>
              </w:rPr>
              <w:t xml:space="preserve">co stanowi relatywnie niewielki procent informacji </w:t>
            </w:r>
            <w:r w:rsidR="00E41B91">
              <w:rPr>
                <w:rFonts w:ascii="Times New Roman" w:hAnsi="Times New Roman" w:cs="Times New Roman"/>
                <w:sz w:val="20"/>
              </w:rPr>
              <w:lastRenderedPageBreak/>
              <w:t>przekazywanych przez notariuszy KAS.</w:t>
            </w:r>
            <w:r w:rsidR="00B16428">
              <w:rPr>
                <w:rFonts w:ascii="Times New Roman" w:hAnsi="Times New Roman" w:cs="Times New Roman"/>
                <w:sz w:val="20"/>
              </w:rPr>
              <w:t xml:space="preserve"> </w:t>
            </w:r>
            <w:r w:rsidR="00B16428" w:rsidRPr="00B16428">
              <w:rPr>
                <w:rFonts w:ascii="Times New Roman" w:hAnsi="Times New Roman" w:cs="Times New Roman"/>
                <w:sz w:val="20"/>
              </w:rPr>
              <w:t>Dodatkowo, nie dla każdej transakcji wszystkie te dane będą wprowadzane (odmienne informacje dotyczą domów jednorodzinnych i lokali mieszkalnych).</w:t>
            </w:r>
          </w:p>
        </w:tc>
      </w:tr>
      <w:tr w:rsidR="0099084C" w:rsidRPr="00FF4480" w14:paraId="41DCCDB9" w14:textId="77777777" w:rsidTr="00E9565F">
        <w:trPr>
          <w:jc w:val="center"/>
        </w:trPr>
        <w:tc>
          <w:tcPr>
            <w:tcW w:w="554" w:type="dxa"/>
            <w:vAlign w:val="center"/>
          </w:tcPr>
          <w:p w14:paraId="2DE89C32"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4FBD00C8" w14:textId="15CEE4D8" w:rsidR="0099084C" w:rsidRPr="00FF5538" w:rsidRDefault="0099084C" w:rsidP="0099084C">
            <w:pPr>
              <w:spacing w:before="120" w:after="120"/>
              <w:rPr>
                <w:rFonts w:ascii="Times New Roman" w:hAnsi="Times New Roman" w:cs="Times New Roman"/>
                <w:sz w:val="20"/>
              </w:rPr>
            </w:pPr>
            <w:r w:rsidRPr="00FF5538">
              <w:rPr>
                <w:rFonts w:ascii="Times New Roman" w:hAnsi="Times New Roman" w:cs="Times New Roman"/>
                <w:sz w:val="20"/>
              </w:rPr>
              <w:t>Stowarzyszenie Notariuszy RP</w:t>
            </w:r>
          </w:p>
        </w:tc>
        <w:tc>
          <w:tcPr>
            <w:tcW w:w="1905" w:type="dxa"/>
            <w:vAlign w:val="center"/>
          </w:tcPr>
          <w:p w14:paraId="20D3D199" w14:textId="3D2DF887"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20</w:t>
            </w:r>
          </w:p>
        </w:tc>
        <w:tc>
          <w:tcPr>
            <w:tcW w:w="5670" w:type="dxa"/>
            <w:vAlign w:val="center"/>
          </w:tcPr>
          <w:p w14:paraId="791CA55B" w14:textId="013A55EE" w:rsidR="0099084C" w:rsidRPr="00FF5538" w:rsidRDefault="0099084C" w:rsidP="0099084C">
            <w:pPr>
              <w:spacing w:before="120" w:after="120"/>
              <w:jc w:val="both"/>
              <w:rPr>
                <w:rFonts w:ascii="Times New Roman" w:hAnsi="Times New Roman" w:cs="Times New Roman"/>
                <w:sz w:val="20"/>
              </w:rPr>
            </w:pPr>
            <w:r w:rsidRPr="00AA000F">
              <w:rPr>
                <w:rFonts w:ascii="Times New Roman" w:hAnsi="Times New Roman" w:cs="Times New Roman"/>
                <w:sz w:val="20"/>
              </w:rPr>
              <w:t>Zupełnie niezrozumiała jest zawarta w uzasadnieniu projektu teza, jakoby „wyższy nakład pracy notariuszy powinien być zrekompensowany większą liczbą obsługiwanych transakcji, a co za tym idzie – wyższymi przychodami.”. W rzeczywistości jest dokładnie odwrotnie. Nakład darmowej pracy notariusza przy wprowadzaniu do systemu informatycznego KAS szczegółowych danych wynikających z aktu notarialnego (w tym aktów notarialnych dziś nie objętych obowiązkiem raportowania) zwiększy się niepomiernie, ale w żaden sposób nie wpłynie na zwiększenie liczby klientów notariusza lub wysokość jego wynagrodzenia. Projekt ustawy nie przewiduje bowiem żadnego ekwiwalentu dla notariusza za dodatkową pracę. Nie przewidziano ani wynagrodzenia ze strony - bezpośrednio korzystającego z wysiłku pracowników kancelarii notarialnych - Ubezpieczeniowego Funduszu Gwarancyjnego ani nawet możliwości pobrania dodatkowego wynagrodzenia od stron czynności notarialnej. Jeśli wziąć pod uwagę, że przez ostatnie 20 lat stawki taksy notarialnej nie były w ogóle waloryzowane, a w tym samym czasie wielokrotnie rozszerzano obowiązki sprawozdawcze notariuszy, to staje się całkowicie zrozumiałym rozgoryczenie i sprzeciw z jakim omawiany projekt spotyka się w środowisku notarialnym. W tym miejscu pozostaje przypomnieć projektodawcom, iż historia zna wiele przykładów (np. gospodarka pańszczyźniana), gdy jakość i efektywność wykonywania darmowych obowiązków była odwrotnie proporcjonalna do stale zwiększanego ich wymiaru.</w:t>
            </w:r>
          </w:p>
        </w:tc>
        <w:tc>
          <w:tcPr>
            <w:tcW w:w="4160" w:type="dxa"/>
          </w:tcPr>
          <w:p w14:paraId="0C01EB41" w14:textId="77777777" w:rsidR="00455ADA" w:rsidRDefault="00455ADA" w:rsidP="00455ADA">
            <w:pPr>
              <w:spacing w:before="120" w:after="120"/>
              <w:jc w:val="both"/>
              <w:rPr>
                <w:rFonts w:ascii="Times New Roman" w:hAnsi="Times New Roman" w:cs="Times New Roman"/>
                <w:color w:val="0070C0"/>
                <w:sz w:val="20"/>
              </w:rPr>
            </w:pPr>
            <w:r w:rsidRPr="00455ADA">
              <w:rPr>
                <w:rFonts w:ascii="Times New Roman" w:hAnsi="Times New Roman" w:cs="Times New Roman"/>
                <w:color w:val="0070C0"/>
                <w:sz w:val="20"/>
              </w:rPr>
              <w:t>Uwaga uwzględniona</w:t>
            </w:r>
          </w:p>
          <w:p w14:paraId="4DAB24A5" w14:textId="40AADA81" w:rsidR="00455ADA" w:rsidRDefault="00455ADA" w:rsidP="00455ADA">
            <w:pPr>
              <w:spacing w:before="120" w:after="120"/>
              <w:jc w:val="both"/>
              <w:rPr>
                <w:rFonts w:ascii="Times New Roman" w:hAnsi="Times New Roman" w:cs="Times New Roman"/>
                <w:sz w:val="20"/>
              </w:rPr>
            </w:pPr>
            <w:r w:rsidRPr="00455ADA">
              <w:rPr>
                <w:rFonts w:ascii="Times New Roman" w:hAnsi="Times New Roman" w:cs="Times New Roman"/>
                <w:sz w:val="20"/>
              </w:rPr>
              <w:t>Zapis został wykreślony.</w:t>
            </w:r>
          </w:p>
          <w:p w14:paraId="108CCF01" w14:textId="02F01D81" w:rsidR="008D6514" w:rsidRDefault="008D6514" w:rsidP="008D6514">
            <w:pPr>
              <w:spacing w:before="120" w:after="120"/>
              <w:jc w:val="both"/>
              <w:rPr>
                <w:rFonts w:ascii="Times New Roman" w:hAnsi="Times New Roman" w:cs="Times New Roman"/>
                <w:sz w:val="20"/>
                <w:highlight w:val="yellow"/>
              </w:rPr>
            </w:pPr>
            <w:r>
              <w:rPr>
                <w:rFonts w:ascii="Times New Roman" w:hAnsi="Times New Roman" w:cs="Times New Roman"/>
                <w:sz w:val="20"/>
              </w:rPr>
              <w:t>Niezależnie od powyższego należy podkreślić, że p</w:t>
            </w:r>
            <w:r w:rsidRPr="006E555C">
              <w:rPr>
                <w:rFonts w:ascii="Times New Roman" w:hAnsi="Times New Roman" w:cs="Times New Roman"/>
                <w:sz w:val="20"/>
              </w:rPr>
              <w:t>rojekt ustawy nie zawiera propozycji nałożenia na notariuszy obowiązku dokonania nowej czynności, ale jedynie rozszerzenia zakresu danych sprawozdawanych w ramach już obecnie wykonywanej czynności. Rozszerzenie to</w:t>
            </w:r>
            <w:r>
              <w:rPr>
                <w:rFonts w:ascii="Times New Roman" w:hAnsi="Times New Roman" w:cs="Times New Roman"/>
                <w:sz w:val="20"/>
              </w:rPr>
              <w:t> </w:t>
            </w:r>
            <w:r w:rsidRPr="006E555C">
              <w:rPr>
                <w:rFonts w:ascii="Times New Roman" w:hAnsi="Times New Roman" w:cs="Times New Roman"/>
                <w:sz w:val="20"/>
              </w:rPr>
              <w:t xml:space="preserve">obejmuje jedynie 5 kategorii danych, </w:t>
            </w:r>
            <w:r w:rsidR="00602E06" w:rsidRPr="00602E06">
              <w:rPr>
                <w:rFonts w:ascii="Times New Roman" w:hAnsi="Times New Roman" w:cs="Times New Roman"/>
                <w:sz w:val="20"/>
              </w:rPr>
              <w:t xml:space="preserve">łatwych do identyfikacji w ramach sporządzanego aktu notarialnego, </w:t>
            </w:r>
            <w:r w:rsidRPr="006E555C">
              <w:rPr>
                <w:rFonts w:ascii="Times New Roman" w:hAnsi="Times New Roman" w:cs="Times New Roman"/>
                <w:sz w:val="20"/>
              </w:rPr>
              <w:t>co</w:t>
            </w:r>
            <w:r>
              <w:rPr>
                <w:rFonts w:ascii="Times New Roman" w:hAnsi="Times New Roman" w:cs="Times New Roman"/>
                <w:sz w:val="20"/>
              </w:rPr>
              <w:t> </w:t>
            </w:r>
            <w:r w:rsidRPr="006E555C">
              <w:rPr>
                <w:rFonts w:ascii="Times New Roman" w:hAnsi="Times New Roman" w:cs="Times New Roman"/>
                <w:sz w:val="20"/>
              </w:rPr>
              <w:t>stanowi relatywnie niewielki procent informacji przekazywanych przez notariuszy KAS.</w:t>
            </w:r>
            <w:r w:rsidR="00B16428">
              <w:t xml:space="preserve"> </w:t>
            </w:r>
            <w:r w:rsidR="00B16428" w:rsidRPr="00B16428">
              <w:rPr>
                <w:rFonts w:ascii="Times New Roman" w:hAnsi="Times New Roman" w:cs="Times New Roman"/>
                <w:sz w:val="20"/>
              </w:rPr>
              <w:t>Dodatkowo, nie dla każdej transakcji wszystkie te dane będą wprowadzane (odmienne informacje dotyczą domów jednorodzinnych i lokali mieszkalnych).</w:t>
            </w:r>
          </w:p>
          <w:p w14:paraId="04EE12B0" w14:textId="77777777" w:rsidR="008D6514" w:rsidRDefault="008D6514" w:rsidP="008D6514">
            <w:pPr>
              <w:spacing w:before="120" w:after="120"/>
              <w:jc w:val="both"/>
              <w:rPr>
                <w:rFonts w:ascii="Times New Roman" w:hAnsi="Times New Roman" w:cs="Times New Roman"/>
                <w:sz w:val="20"/>
              </w:rPr>
            </w:pPr>
            <w:r>
              <w:rPr>
                <w:rFonts w:ascii="Times New Roman" w:hAnsi="Times New Roman" w:cs="Times New Roman"/>
                <w:sz w:val="20"/>
              </w:rPr>
              <w:t xml:space="preserve">Podobne jak </w:t>
            </w:r>
            <w:proofErr w:type="spellStart"/>
            <w:r>
              <w:rPr>
                <w:rFonts w:ascii="Times New Roman" w:hAnsi="Times New Roman" w:cs="Times New Roman"/>
                <w:sz w:val="20"/>
              </w:rPr>
              <w:t>MRiT</w:t>
            </w:r>
            <w:proofErr w:type="spellEnd"/>
            <w:r>
              <w:rPr>
                <w:rFonts w:ascii="Times New Roman" w:hAnsi="Times New Roman" w:cs="Times New Roman"/>
                <w:sz w:val="20"/>
              </w:rPr>
              <w:t xml:space="preserve"> stanowisko do przedmiotowej uwagi w toku analizy zastrzeżeń notariuszy wyraził Minister Sprawiedliwości. W </w:t>
            </w:r>
            <w:r w:rsidRPr="00B37B1E">
              <w:rPr>
                <w:rFonts w:ascii="Times New Roman" w:hAnsi="Times New Roman" w:cs="Times New Roman"/>
                <w:sz w:val="20"/>
              </w:rPr>
              <w:t xml:space="preserve">opinii przekazanej przez </w:t>
            </w:r>
            <w:r>
              <w:rPr>
                <w:rFonts w:ascii="Times New Roman" w:hAnsi="Times New Roman" w:cs="Times New Roman"/>
                <w:sz w:val="20"/>
              </w:rPr>
              <w:t>MS 29 października 2024 r.</w:t>
            </w:r>
            <w:r w:rsidRPr="00B37B1E">
              <w:rPr>
                <w:rFonts w:ascii="Times New Roman" w:hAnsi="Times New Roman" w:cs="Times New Roman"/>
                <w:sz w:val="20"/>
              </w:rPr>
              <w:t xml:space="preserve"> </w:t>
            </w:r>
            <w:r>
              <w:rPr>
                <w:rFonts w:ascii="Times New Roman" w:hAnsi="Times New Roman" w:cs="Times New Roman"/>
                <w:sz w:val="20"/>
              </w:rPr>
              <w:t>wskazano</w:t>
            </w:r>
            <w:r w:rsidRPr="00B37B1E">
              <w:rPr>
                <w:rFonts w:ascii="Times New Roman" w:hAnsi="Times New Roman" w:cs="Times New Roman"/>
                <w:sz w:val="20"/>
              </w:rPr>
              <w:t>, że „projektowane przepisy nie wprowadzają nowych rodzajów czynności notarialnych,</w:t>
            </w:r>
            <w:r>
              <w:rPr>
                <w:rFonts w:ascii="Times New Roman" w:hAnsi="Times New Roman" w:cs="Times New Roman"/>
                <w:sz w:val="20"/>
              </w:rPr>
              <w:t xml:space="preserve"> </w:t>
            </w:r>
            <w:r w:rsidRPr="00B37B1E">
              <w:rPr>
                <w:rFonts w:ascii="Times New Roman" w:hAnsi="Times New Roman" w:cs="Times New Roman"/>
                <w:sz w:val="20"/>
              </w:rPr>
              <w:t>które czyniłyby niezbędnym dostosowanie do nich przepisów rozporządzenia</w:t>
            </w:r>
            <w:r>
              <w:rPr>
                <w:rFonts w:ascii="Times New Roman" w:hAnsi="Times New Roman" w:cs="Times New Roman"/>
                <w:sz w:val="20"/>
              </w:rPr>
              <w:t xml:space="preserve"> </w:t>
            </w:r>
            <w:r w:rsidRPr="00B37B1E">
              <w:rPr>
                <w:rFonts w:ascii="Times New Roman" w:hAnsi="Times New Roman" w:cs="Times New Roman"/>
                <w:i/>
                <w:iCs/>
                <w:sz w:val="20"/>
              </w:rPr>
              <w:t>[tj. rozporządzenia Ministra Sprawiedliwości z</w:t>
            </w:r>
            <w:r>
              <w:rPr>
                <w:rFonts w:ascii="Times New Roman" w:hAnsi="Times New Roman" w:cs="Times New Roman"/>
                <w:i/>
                <w:iCs/>
                <w:sz w:val="20"/>
              </w:rPr>
              <w:t> </w:t>
            </w:r>
            <w:r w:rsidRPr="00B37B1E">
              <w:rPr>
                <w:rFonts w:ascii="Times New Roman" w:hAnsi="Times New Roman" w:cs="Times New Roman"/>
                <w:i/>
                <w:iCs/>
                <w:sz w:val="20"/>
              </w:rPr>
              <w:t xml:space="preserve">dnia 28 czerwca 2004 r. w sprawie maksymalnych stawek taksy notarialnej – przyp. </w:t>
            </w:r>
            <w:proofErr w:type="spellStart"/>
            <w:r w:rsidRPr="00B37B1E">
              <w:rPr>
                <w:rFonts w:ascii="Times New Roman" w:hAnsi="Times New Roman" w:cs="Times New Roman"/>
                <w:i/>
                <w:iCs/>
                <w:sz w:val="20"/>
              </w:rPr>
              <w:t>MRiT</w:t>
            </w:r>
            <w:proofErr w:type="spellEnd"/>
            <w:r w:rsidRPr="00B37B1E">
              <w:rPr>
                <w:rFonts w:ascii="Times New Roman" w:hAnsi="Times New Roman" w:cs="Times New Roman"/>
                <w:i/>
                <w:iCs/>
                <w:sz w:val="20"/>
              </w:rPr>
              <w:t>]</w:t>
            </w:r>
            <w:r>
              <w:rPr>
                <w:rFonts w:ascii="Times New Roman" w:hAnsi="Times New Roman" w:cs="Times New Roman"/>
                <w:sz w:val="20"/>
              </w:rPr>
              <w:t xml:space="preserve"> </w:t>
            </w:r>
            <w:r w:rsidRPr="00B37B1E">
              <w:rPr>
                <w:rFonts w:ascii="Times New Roman" w:hAnsi="Times New Roman" w:cs="Times New Roman"/>
                <w:sz w:val="20"/>
              </w:rPr>
              <w:t>jeszcze</w:t>
            </w:r>
            <w:r>
              <w:rPr>
                <w:rFonts w:ascii="Times New Roman" w:hAnsi="Times New Roman" w:cs="Times New Roman"/>
                <w:sz w:val="20"/>
              </w:rPr>
              <w:t xml:space="preserve"> </w:t>
            </w:r>
            <w:r w:rsidRPr="00B37B1E">
              <w:rPr>
                <w:rFonts w:ascii="Times New Roman" w:hAnsi="Times New Roman" w:cs="Times New Roman"/>
                <w:sz w:val="20"/>
              </w:rPr>
              <w:t>przed ich wejściem w życie. Opiniujący nie przedstawili również żadnych konkretnych</w:t>
            </w:r>
            <w:r>
              <w:rPr>
                <w:rFonts w:ascii="Times New Roman" w:hAnsi="Times New Roman" w:cs="Times New Roman"/>
                <w:sz w:val="20"/>
              </w:rPr>
              <w:t xml:space="preserve"> </w:t>
            </w:r>
            <w:r w:rsidRPr="00B37B1E">
              <w:rPr>
                <w:rFonts w:ascii="Times New Roman" w:hAnsi="Times New Roman" w:cs="Times New Roman"/>
                <w:sz w:val="20"/>
              </w:rPr>
              <w:t>propozycji odnośnie do wartości czy też metodologii tej waloryzacji.</w:t>
            </w:r>
            <w:r>
              <w:rPr>
                <w:rFonts w:ascii="Times New Roman" w:hAnsi="Times New Roman" w:cs="Times New Roman"/>
                <w:sz w:val="20"/>
              </w:rPr>
              <w:t xml:space="preserve"> </w:t>
            </w:r>
          </w:p>
          <w:p w14:paraId="5B009EE6" w14:textId="427D99D4" w:rsidR="00AB6BFB" w:rsidRPr="00390843" w:rsidRDefault="008D6514" w:rsidP="0099084C">
            <w:pPr>
              <w:spacing w:before="120" w:after="120"/>
              <w:jc w:val="both"/>
              <w:rPr>
                <w:rFonts w:ascii="Times New Roman" w:hAnsi="Times New Roman" w:cs="Times New Roman"/>
                <w:sz w:val="20"/>
              </w:rPr>
            </w:pPr>
            <w:r w:rsidRPr="00B37B1E">
              <w:rPr>
                <w:rFonts w:ascii="Times New Roman" w:hAnsi="Times New Roman" w:cs="Times New Roman"/>
                <w:sz w:val="20"/>
              </w:rPr>
              <w:lastRenderedPageBreak/>
              <w:t>Jednocześnie zarówno zagadnienie wzrostu obciążeń notariuszy o</w:t>
            </w:r>
            <w:r>
              <w:rPr>
                <w:rFonts w:ascii="Times New Roman" w:hAnsi="Times New Roman" w:cs="Times New Roman"/>
                <w:sz w:val="20"/>
              </w:rPr>
              <w:t xml:space="preserve"> </w:t>
            </w:r>
            <w:r w:rsidRPr="00B37B1E">
              <w:rPr>
                <w:rFonts w:ascii="Times New Roman" w:hAnsi="Times New Roman" w:cs="Times New Roman"/>
                <w:sz w:val="20"/>
              </w:rPr>
              <w:t>charakterze</w:t>
            </w:r>
            <w:r>
              <w:rPr>
                <w:rFonts w:ascii="Times New Roman" w:hAnsi="Times New Roman" w:cs="Times New Roman"/>
                <w:sz w:val="20"/>
              </w:rPr>
              <w:t xml:space="preserve"> </w:t>
            </w:r>
            <w:r w:rsidRPr="00B37B1E">
              <w:rPr>
                <w:rFonts w:ascii="Times New Roman" w:hAnsi="Times New Roman" w:cs="Times New Roman"/>
                <w:sz w:val="20"/>
              </w:rPr>
              <w:t>„sprawozdawczo-notyfikacyjnym”, jak też zgłaszanych przez organy samorządu</w:t>
            </w:r>
            <w:r>
              <w:rPr>
                <w:rFonts w:ascii="Times New Roman" w:hAnsi="Times New Roman" w:cs="Times New Roman"/>
                <w:sz w:val="20"/>
              </w:rPr>
              <w:t xml:space="preserve"> </w:t>
            </w:r>
            <w:r w:rsidRPr="00B37B1E">
              <w:rPr>
                <w:rFonts w:ascii="Times New Roman" w:hAnsi="Times New Roman" w:cs="Times New Roman"/>
                <w:sz w:val="20"/>
              </w:rPr>
              <w:t>notarialnego postulatów konieczności aktualizacji maksymalnych stawek taksy notarialnej</w:t>
            </w:r>
            <w:r>
              <w:rPr>
                <w:rFonts w:ascii="Times New Roman" w:hAnsi="Times New Roman" w:cs="Times New Roman"/>
                <w:sz w:val="20"/>
              </w:rPr>
              <w:t xml:space="preserve"> </w:t>
            </w:r>
            <w:r w:rsidRPr="00B37B1E">
              <w:rPr>
                <w:rFonts w:ascii="Times New Roman" w:hAnsi="Times New Roman" w:cs="Times New Roman"/>
                <w:sz w:val="20"/>
              </w:rPr>
              <w:t>jest znana resortowi sprawiedliwości. Podkreślić należy, że wszczęcie prac w tym zakresie</w:t>
            </w:r>
            <w:r>
              <w:rPr>
                <w:rFonts w:ascii="Times New Roman" w:hAnsi="Times New Roman" w:cs="Times New Roman"/>
                <w:sz w:val="20"/>
              </w:rPr>
              <w:t xml:space="preserve"> </w:t>
            </w:r>
            <w:r w:rsidRPr="00B37B1E">
              <w:rPr>
                <w:rFonts w:ascii="Times New Roman" w:hAnsi="Times New Roman" w:cs="Times New Roman"/>
                <w:sz w:val="20"/>
              </w:rPr>
              <w:t>wymaga kierunkowej decyzji, w</w:t>
            </w:r>
            <w:r>
              <w:rPr>
                <w:rFonts w:ascii="Times New Roman" w:hAnsi="Times New Roman" w:cs="Times New Roman"/>
                <w:sz w:val="20"/>
              </w:rPr>
              <w:t> </w:t>
            </w:r>
            <w:r w:rsidRPr="00B37B1E">
              <w:rPr>
                <w:rFonts w:ascii="Times New Roman" w:hAnsi="Times New Roman" w:cs="Times New Roman"/>
                <w:sz w:val="20"/>
              </w:rPr>
              <w:t>szczególności w świetle okoliczności, że podobne</w:t>
            </w:r>
            <w:r>
              <w:rPr>
                <w:rFonts w:ascii="Times New Roman" w:hAnsi="Times New Roman" w:cs="Times New Roman"/>
                <w:sz w:val="20"/>
              </w:rPr>
              <w:t xml:space="preserve"> </w:t>
            </w:r>
            <w:r w:rsidRPr="00B37B1E">
              <w:rPr>
                <w:rFonts w:ascii="Times New Roman" w:hAnsi="Times New Roman" w:cs="Times New Roman"/>
                <w:sz w:val="20"/>
              </w:rPr>
              <w:t>postulaty można sformułować również odnośnie do stawek urzędowych wynagrodzeń</w:t>
            </w:r>
            <w:r>
              <w:rPr>
                <w:rFonts w:ascii="Times New Roman" w:hAnsi="Times New Roman" w:cs="Times New Roman"/>
                <w:sz w:val="20"/>
              </w:rPr>
              <w:t xml:space="preserve"> </w:t>
            </w:r>
            <w:r w:rsidRPr="00B37B1E">
              <w:rPr>
                <w:rFonts w:ascii="Times New Roman" w:hAnsi="Times New Roman" w:cs="Times New Roman"/>
                <w:sz w:val="20"/>
              </w:rPr>
              <w:t>obowiązujących przedstawicieli innych zawodów prawniczych, jak też aktualnych opłat</w:t>
            </w:r>
            <w:r>
              <w:rPr>
                <w:rFonts w:ascii="Times New Roman" w:hAnsi="Times New Roman" w:cs="Times New Roman"/>
                <w:sz w:val="20"/>
              </w:rPr>
              <w:t xml:space="preserve"> </w:t>
            </w:r>
            <w:r w:rsidRPr="00B37B1E">
              <w:rPr>
                <w:rFonts w:ascii="Times New Roman" w:hAnsi="Times New Roman" w:cs="Times New Roman"/>
                <w:sz w:val="20"/>
              </w:rPr>
              <w:t>sądowych. W tym kontekście nie wydaje się zasadne uzależnianie dopuszczalności</w:t>
            </w:r>
            <w:r>
              <w:rPr>
                <w:rFonts w:ascii="Times New Roman" w:hAnsi="Times New Roman" w:cs="Times New Roman"/>
                <w:sz w:val="20"/>
              </w:rPr>
              <w:t xml:space="preserve"> </w:t>
            </w:r>
            <w:r w:rsidRPr="00B37B1E">
              <w:rPr>
                <w:rFonts w:ascii="Times New Roman" w:hAnsi="Times New Roman" w:cs="Times New Roman"/>
                <w:sz w:val="20"/>
              </w:rPr>
              <w:t>wprowadzenia projektowanych zmian od waloryzacji taksy notarialnej. W tej sytuacji</w:t>
            </w:r>
            <w:r>
              <w:rPr>
                <w:rFonts w:ascii="Times New Roman" w:hAnsi="Times New Roman" w:cs="Times New Roman"/>
                <w:sz w:val="20"/>
              </w:rPr>
              <w:t xml:space="preserve"> </w:t>
            </w:r>
            <w:r w:rsidRPr="00B37B1E">
              <w:rPr>
                <w:rFonts w:ascii="Times New Roman" w:hAnsi="Times New Roman" w:cs="Times New Roman"/>
                <w:sz w:val="20"/>
              </w:rPr>
              <w:t>należy tylko zasygnalizować, że przedmiotowe kwestie mają charakter wielowymiarowy</w:t>
            </w:r>
            <w:r>
              <w:rPr>
                <w:rFonts w:ascii="Times New Roman" w:hAnsi="Times New Roman" w:cs="Times New Roman"/>
                <w:sz w:val="20"/>
              </w:rPr>
              <w:t xml:space="preserve"> </w:t>
            </w:r>
            <w:r w:rsidRPr="00B37B1E">
              <w:rPr>
                <w:rFonts w:ascii="Times New Roman" w:hAnsi="Times New Roman" w:cs="Times New Roman"/>
                <w:sz w:val="20"/>
              </w:rPr>
              <w:t>i wymagają rozwiązań systemowych. Wzrostowi obciążeń „sprawozdawczo</w:t>
            </w:r>
            <w:r>
              <w:rPr>
                <w:rFonts w:ascii="Times New Roman" w:hAnsi="Times New Roman" w:cs="Times New Roman"/>
                <w:sz w:val="20"/>
              </w:rPr>
              <w:t>-</w:t>
            </w:r>
            <w:r w:rsidRPr="00B37B1E">
              <w:rPr>
                <w:rFonts w:ascii="Times New Roman" w:hAnsi="Times New Roman" w:cs="Times New Roman"/>
                <w:sz w:val="20"/>
              </w:rPr>
              <w:t>notyfikacyjnych” notariuszy towarzyszy bowiem postępująca informatyzacja organów</w:t>
            </w:r>
            <w:r>
              <w:rPr>
                <w:rFonts w:ascii="Times New Roman" w:hAnsi="Times New Roman" w:cs="Times New Roman"/>
                <w:sz w:val="20"/>
              </w:rPr>
              <w:t xml:space="preserve"> </w:t>
            </w:r>
            <w:r w:rsidRPr="00B37B1E">
              <w:rPr>
                <w:rFonts w:ascii="Times New Roman" w:hAnsi="Times New Roman" w:cs="Times New Roman"/>
                <w:sz w:val="20"/>
              </w:rPr>
              <w:t>administracji publicznej oraz sposobu prowadzenia kancelarii notarialnych, która winna</w:t>
            </w:r>
            <w:r>
              <w:rPr>
                <w:rFonts w:ascii="Times New Roman" w:hAnsi="Times New Roman" w:cs="Times New Roman"/>
                <w:sz w:val="20"/>
              </w:rPr>
              <w:t xml:space="preserve"> </w:t>
            </w:r>
            <w:r w:rsidRPr="00B37B1E">
              <w:rPr>
                <w:rFonts w:ascii="Times New Roman" w:hAnsi="Times New Roman" w:cs="Times New Roman"/>
                <w:sz w:val="20"/>
              </w:rPr>
              <w:t>prowadzić do zwiększenia ergonomii ich wykonywania. Podobnie realnemu spadkowi</w:t>
            </w:r>
            <w:r>
              <w:rPr>
                <w:rFonts w:ascii="Times New Roman" w:hAnsi="Times New Roman" w:cs="Times New Roman"/>
                <w:sz w:val="20"/>
              </w:rPr>
              <w:t xml:space="preserve"> </w:t>
            </w:r>
            <w:r w:rsidRPr="00B37B1E">
              <w:rPr>
                <w:rFonts w:ascii="Times New Roman" w:hAnsi="Times New Roman" w:cs="Times New Roman"/>
                <w:sz w:val="20"/>
              </w:rPr>
              <w:t>wartości stawek taksy notarialnej towarzyszy jednoczesny wzrost cen transakcyjnych</w:t>
            </w:r>
            <w:r>
              <w:rPr>
                <w:rFonts w:ascii="Times New Roman" w:hAnsi="Times New Roman" w:cs="Times New Roman"/>
                <w:sz w:val="20"/>
              </w:rPr>
              <w:t xml:space="preserve"> </w:t>
            </w:r>
            <w:r w:rsidRPr="00B37B1E">
              <w:rPr>
                <w:rFonts w:ascii="Times New Roman" w:hAnsi="Times New Roman" w:cs="Times New Roman"/>
                <w:sz w:val="20"/>
              </w:rPr>
              <w:t>w obrocie nieruchomościami, co prowadzi</w:t>
            </w:r>
            <w:r w:rsidR="00B940A4">
              <w:rPr>
                <w:rFonts w:ascii="Times New Roman" w:hAnsi="Times New Roman" w:cs="Times New Roman"/>
                <w:sz w:val="20"/>
              </w:rPr>
              <w:t xml:space="preserve"> </w:t>
            </w:r>
            <w:r w:rsidRPr="00B37B1E">
              <w:rPr>
                <w:rFonts w:ascii="Times New Roman" w:hAnsi="Times New Roman" w:cs="Times New Roman"/>
                <w:sz w:val="20"/>
              </w:rPr>
              <w:t>do</w:t>
            </w:r>
            <w:r>
              <w:rPr>
                <w:rFonts w:ascii="Times New Roman" w:hAnsi="Times New Roman" w:cs="Times New Roman"/>
                <w:sz w:val="20"/>
              </w:rPr>
              <w:t> </w:t>
            </w:r>
            <w:r w:rsidRPr="00B37B1E">
              <w:rPr>
                <w:rFonts w:ascii="Times New Roman" w:hAnsi="Times New Roman" w:cs="Times New Roman"/>
                <w:sz w:val="20"/>
              </w:rPr>
              <w:t>odpowiedniego wzrostu stawek</w:t>
            </w:r>
            <w:r>
              <w:rPr>
                <w:rFonts w:ascii="Times New Roman" w:hAnsi="Times New Roman" w:cs="Times New Roman"/>
                <w:sz w:val="20"/>
              </w:rPr>
              <w:t xml:space="preserve"> </w:t>
            </w:r>
            <w:r w:rsidRPr="00B37B1E">
              <w:rPr>
                <w:rFonts w:ascii="Times New Roman" w:hAnsi="Times New Roman" w:cs="Times New Roman"/>
                <w:sz w:val="20"/>
              </w:rPr>
              <w:t>pobieranych przez notariuszy oraz wprowadzenie nowych rodzajów czynności</w:t>
            </w:r>
            <w:r>
              <w:rPr>
                <w:rFonts w:ascii="Times New Roman" w:hAnsi="Times New Roman" w:cs="Times New Roman"/>
                <w:sz w:val="20"/>
              </w:rPr>
              <w:t xml:space="preserve"> </w:t>
            </w:r>
            <w:r w:rsidRPr="00B37B1E">
              <w:rPr>
                <w:rFonts w:ascii="Times New Roman" w:hAnsi="Times New Roman" w:cs="Times New Roman"/>
                <w:sz w:val="20"/>
              </w:rPr>
              <w:t>notarialnych rozszerzających zakres świadczonych przez nich usług. Warunki</w:t>
            </w:r>
            <w:r>
              <w:rPr>
                <w:rFonts w:ascii="Times New Roman" w:hAnsi="Times New Roman" w:cs="Times New Roman"/>
                <w:sz w:val="20"/>
              </w:rPr>
              <w:t xml:space="preserve"> </w:t>
            </w:r>
            <w:r w:rsidRPr="00B37B1E">
              <w:rPr>
                <w:rFonts w:ascii="Times New Roman" w:hAnsi="Times New Roman" w:cs="Times New Roman"/>
                <w:sz w:val="20"/>
              </w:rPr>
              <w:t>wykonywania zawodu notariusza należy uznać również za wciąż znajdujące się na</w:t>
            </w:r>
            <w:r>
              <w:rPr>
                <w:rFonts w:ascii="Times New Roman" w:hAnsi="Times New Roman" w:cs="Times New Roman"/>
                <w:sz w:val="20"/>
              </w:rPr>
              <w:t xml:space="preserve"> </w:t>
            </w:r>
            <w:r w:rsidRPr="00B37B1E">
              <w:rPr>
                <w:rFonts w:ascii="Times New Roman" w:hAnsi="Times New Roman" w:cs="Times New Roman"/>
                <w:sz w:val="20"/>
              </w:rPr>
              <w:t>atrakcyjnym poziomie, o czym świadczy stały wzrost osób wykonujących ten zawód</w:t>
            </w:r>
            <w:r>
              <w:rPr>
                <w:rFonts w:ascii="Times New Roman" w:hAnsi="Times New Roman" w:cs="Times New Roman"/>
                <w:sz w:val="20"/>
              </w:rPr>
              <w:t>”</w:t>
            </w:r>
            <w:r w:rsidR="00D75D57">
              <w:rPr>
                <w:rFonts w:ascii="Times New Roman" w:hAnsi="Times New Roman" w:cs="Times New Roman"/>
                <w:sz w:val="20"/>
              </w:rPr>
              <w:t>.</w:t>
            </w:r>
          </w:p>
        </w:tc>
      </w:tr>
      <w:tr w:rsidR="0099084C" w:rsidRPr="00FF4480" w14:paraId="34F01FB7" w14:textId="77777777" w:rsidTr="00E9565F">
        <w:trPr>
          <w:jc w:val="center"/>
        </w:trPr>
        <w:tc>
          <w:tcPr>
            <w:tcW w:w="554" w:type="dxa"/>
            <w:vAlign w:val="center"/>
          </w:tcPr>
          <w:p w14:paraId="0AC22603" w14:textId="77777777" w:rsidR="0099084C" w:rsidRPr="00FF4480" w:rsidRDefault="0099084C" w:rsidP="0099084C">
            <w:pPr>
              <w:pStyle w:val="Akapitzlist"/>
              <w:numPr>
                <w:ilvl w:val="0"/>
                <w:numId w:val="13"/>
              </w:numPr>
              <w:spacing w:before="120"/>
              <w:ind w:left="36" w:right="-534" w:firstLine="0"/>
              <w:jc w:val="center"/>
              <w:rPr>
                <w:rFonts w:ascii="Times New Roman" w:hAnsi="Times New Roman" w:cs="Times New Roman"/>
                <w:b/>
                <w:sz w:val="20"/>
              </w:rPr>
            </w:pPr>
          </w:p>
        </w:tc>
        <w:tc>
          <w:tcPr>
            <w:tcW w:w="1931" w:type="dxa"/>
            <w:vAlign w:val="center"/>
          </w:tcPr>
          <w:p w14:paraId="5538FC35" w14:textId="3523D6FC" w:rsidR="0099084C" w:rsidRPr="00FF5538" w:rsidRDefault="0099084C" w:rsidP="0099084C">
            <w:pPr>
              <w:spacing w:before="120" w:after="120"/>
              <w:rPr>
                <w:rFonts w:ascii="Times New Roman" w:hAnsi="Times New Roman" w:cs="Times New Roman"/>
                <w:sz w:val="20"/>
              </w:rPr>
            </w:pPr>
            <w:r w:rsidRPr="00FF5538">
              <w:rPr>
                <w:rFonts w:ascii="Times New Roman" w:hAnsi="Times New Roman" w:cs="Times New Roman"/>
                <w:sz w:val="20"/>
              </w:rPr>
              <w:t>Stowarzyszenie Notariuszy RP</w:t>
            </w:r>
          </w:p>
        </w:tc>
        <w:tc>
          <w:tcPr>
            <w:tcW w:w="1905" w:type="dxa"/>
            <w:vAlign w:val="center"/>
          </w:tcPr>
          <w:p w14:paraId="06306329" w14:textId="464D4418"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21</w:t>
            </w:r>
          </w:p>
        </w:tc>
        <w:tc>
          <w:tcPr>
            <w:tcW w:w="5670" w:type="dxa"/>
            <w:vAlign w:val="center"/>
          </w:tcPr>
          <w:p w14:paraId="0958D093" w14:textId="643C175D" w:rsidR="0099084C" w:rsidRPr="00AA000F" w:rsidRDefault="0099084C" w:rsidP="0099084C">
            <w:pPr>
              <w:spacing w:before="120" w:after="120"/>
              <w:jc w:val="both"/>
              <w:rPr>
                <w:rFonts w:ascii="Times New Roman" w:hAnsi="Times New Roman" w:cs="Times New Roman"/>
                <w:sz w:val="20"/>
              </w:rPr>
            </w:pPr>
            <w:r w:rsidRPr="00AA000F">
              <w:rPr>
                <w:rFonts w:ascii="Times New Roman" w:hAnsi="Times New Roman" w:cs="Times New Roman"/>
                <w:sz w:val="20"/>
              </w:rPr>
              <w:t>Nieprawdziwą jest postanowiona w uzasadnieniu projektu teza, iż „nie jest możliwe podjęcie alternatywnych w stosunku do proponowanego środków umożliwiających osiągnięcie zamierzonego celu”. Organy publiczne już dziś dysponują elektronicznym dostępem do prowadzonych w systemach informatycznych ksiąg wieczystych i ewidencji gruntów, budynków i lokali, w których znajdują się wszelkie istotne dla Portalu DOM dane tj.: parametry techniczne lokali i budynków, oznaczenia podmiotów będących właścicielami (w tym ich numerami PESEL) oraz opisy aktów notarialnych (numer Repertorium, imię i nazwisko notariusza, data sporządzenia), wystarczające dla powiązania ich z elektronicznymi wypisami tych aktów, przekazywanymi przez notariusza do Szefa KAS. Zamiast rozszerzać obowiązki sprawozdawcze notariuszy, którzy te same dane już dziś przekazują (w formie wniosków wieczystoksięgowych i wypisów aktów notarialnych) do</w:t>
            </w:r>
            <w:r>
              <w:rPr>
                <w:rFonts w:ascii="Times New Roman" w:hAnsi="Times New Roman" w:cs="Times New Roman"/>
                <w:sz w:val="20"/>
              </w:rPr>
              <w:t xml:space="preserve"> </w:t>
            </w:r>
            <w:r w:rsidRPr="00AA000F">
              <w:rPr>
                <w:rFonts w:ascii="Times New Roman" w:hAnsi="Times New Roman" w:cs="Times New Roman"/>
                <w:sz w:val="20"/>
              </w:rPr>
              <w:t>trzech organów publicznych (sąd wieczystoksięgowy, Starostowie prowadzący ewidencję gruntów i budynków oraz Szefa Krajowej Administracji Skarbowej) należałoby raczej stworzyć narzędzie informatyczne, które połączy dane z ksiąg wieczystych i ewidencji gruntów, budynków i lokali z danymi co do cen przesyłanymi przez KAS</w:t>
            </w:r>
            <w:r>
              <w:rPr>
                <w:rFonts w:ascii="Times New Roman" w:hAnsi="Times New Roman" w:cs="Times New Roman"/>
                <w:sz w:val="20"/>
              </w:rPr>
              <w:t>.</w:t>
            </w:r>
          </w:p>
        </w:tc>
        <w:tc>
          <w:tcPr>
            <w:tcW w:w="4160" w:type="dxa"/>
          </w:tcPr>
          <w:p w14:paraId="77F6C35B" w14:textId="77777777" w:rsidR="0099084C" w:rsidRPr="009E4AFC" w:rsidRDefault="009E4AFC" w:rsidP="0099084C">
            <w:pPr>
              <w:spacing w:before="120" w:after="120"/>
              <w:jc w:val="both"/>
              <w:rPr>
                <w:rFonts w:ascii="Times New Roman" w:hAnsi="Times New Roman" w:cs="Times New Roman"/>
                <w:sz w:val="20"/>
                <w:u w:val="single"/>
              </w:rPr>
            </w:pPr>
            <w:r w:rsidRPr="009E4AFC">
              <w:rPr>
                <w:rFonts w:ascii="Times New Roman" w:hAnsi="Times New Roman" w:cs="Times New Roman"/>
                <w:sz w:val="20"/>
                <w:u w:val="single"/>
              </w:rPr>
              <w:t>Komentarz do uwagi</w:t>
            </w:r>
          </w:p>
          <w:p w14:paraId="56FA18B2" w14:textId="77777777" w:rsidR="009E4AFC" w:rsidRDefault="009E4AFC" w:rsidP="009E4AFC">
            <w:pPr>
              <w:spacing w:before="120" w:after="120"/>
              <w:jc w:val="both"/>
              <w:rPr>
                <w:rFonts w:ascii="Times New Roman" w:hAnsi="Times New Roman" w:cs="Times New Roman"/>
                <w:sz w:val="20"/>
              </w:rPr>
            </w:pPr>
            <w:r>
              <w:rPr>
                <w:rFonts w:ascii="Times New Roman" w:hAnsi="Times New Roman" w:cs="Times New Roman"/>
                <w:sz w:val="20"/>
              </w:rPr>
              <w:t>Dostępne informacje są rozproszone i udostępniane z opóźnieniem.</w:t>
            </w:r>
            <w:r>
              <w:t xml:space="preserve"> </w:t>
            </w:r>
            <w:r w:rsidRPr="009E4AFC">
              <w:rPr>
                <w:rFonts w:ascii="Times New Roman" w:hAnsi="Times New Roman" w:cs="Times New Roman"/>
                <w:sz w:val="20"/>
              </w:rPr>
              <w:t xml:space="preserve">Propozycja stworzenia Portalu DOM jest odpowiedzią m.in. na </w:t>
            </w:r>
            <w:r w:rsidR="008E671A">
              <w:rPr>
                <w:rFonts w:ascii="Times New Roman" w:hAnsi="Times New Roman" w:cs="Times New Roman"/>
                <w:sz w:val="20"/>
              </w:rPr>
              <w:t xml:space="preserve">wspomniane </w:t>
            </w:r>
            <w:r w:rsidRPr="009E4AFC">
              <w:rPr>
                <w:rFonts w:ascii="Times New Roman" w:hAnsi="Times New Roman" w:cs="Times New Roman"/>
                <w:sz w:val="20"/>
              </w:rPr>
              <w:t>braki zdiagnozowane w</w:t>
            </w:r>
            <w:r w:rsidR="008E671A">
              <w:rPr>
                <w:rFonts w:ascii="Times New Roman" w:hAnsi="Times New Roman" w:cs="Times New Roman"/>
                <w:sz w:val="20"/>
              </w:rPr>
              <w:t> </w:t>
            </w:r>
            <w:r w:rsidRPr="009E4AFC">
              <w:rPr>
                <w:rFonts w:ascii="Times New Roman" w:hAnsi="Times New Roman" w:cs="Times New Roman"/>
                <w:sz w:val="20"/>
              </w:rPr>
              <w:t>kontekście funkcjonowania dostępnych baz informacji o nieruchomościach mieszkaniowych. Jedną z przyczyn zainicjowania prac nad Portalem DOM jest potrzeba stworzenia aktualnego i wiarygodnego źródła informacji o</w:t>
            </w:r>
            <w:r w:rsidR="008E671A">
              <w:rPr>
                <w:rFonts w:ascii="Times New Roman" w:hAnsi="Times New Roman" w:cs="Times New Roman"/>
                <w:sz w:val="20"/>
              </w:rPr>
              <w:t> </w:t>
            </w:r>
            <w:r w:rsidRPr="009E4AFC">
              <w:rPr>
                <w:rFonts w:ascii="Times New Roman" w:hAnsi="Times New Roman" w:cs="Times New Roman"/>
                <w:sz w:val="20"/>
              </w:rPr>
              <w:t>średnich cenach transakcyjnych nieruchomości mieszkaniowych.</w:t>
            </w:r>
            <w:r w:rsidR="008E671A">
              <w:rPr>
                <w:rFonts w:ascii="Times New Roman" w:hAnsi="Times New Roman" w:cs="Times New Roman"/>
                <w:sz w:val="20"/>
              </w:rPr>
              <w:t xml:space="preserve"> </w:t>
            </w:r>
            <w:r w:rsidRPr="009E4AFC">
              <w:rPr>
                <w:rFonts w:ascii="Times New Roman" w:hAnsi="Times New Roman" w:cs="Times New Roman"/>
                <w:sz w:val="20"/>
              </w:rPr>
              <w:t xml:space="preserve">Wartością projektowanego portalu w relacji do funkcjonujących już baz informacji o cenach nieruchomości mieszkaniowych będzie </w:t>
            </w:r>
            <w:r w:rsidR="008E671A">
              <w:rPr>
                <w:rFonts w:ascii="Times New Roman" w:hAnsi="Times New Roman" w:cs="Times New Roman"/>
                <w:sz w:val="20"/>
              </w:rPr>
              <w:t xml:space="preserve">zatem </w:t>
            </w:r>
            <w:r w:rsidRPr="009E4AFC">
              <w:rPr>
                <w:rFonts w:ascii="Times New Roman" w:hAnsi="Times New Roman" w:cs="Times New Roman"/>
                <w:sz w:val="20"/>
              </w:rPr>
              <w:t>przede wszystkim szybsze publikowanie informacji o cenach, co powinno być ważnym punktem odniesienia dla osób poszukujących mieszkania lub domu jednorodzinnego.</w:t>
            </w:r>
          </w:p>
          <w:p w14:paraId="2D2F8421" w14:textId="77777777" w:rsidR="00C10E86" w:rsidRDefault="00C10E86" w:rsidP="009E4AFC">
            <w:pPr>
              <w:spacing w:before="120" w:after="120"/>
              <w:jc w:val="both"/>
              <w:rPr>
                <w:rFonts w:ascii="Times New Roman" w:hAnsi="Times New Roman" w:cs="Times New Roman"/>
                <w:sz w:val="20"/>
              </w:rPr>
            </w:pPr>
          </w:p>
          <w:p w14:paraId="1F90994D" w14:textId="77777777" w:rsidR="00C10E86" w:rsidRDefault="00C10E86" w:rsidP="009E4AFC">
            <w:pPr>
              <w:spacing w:before="120" w:after="120"/>
              <w:jc w:val="both"/>
              <w:rPr>
                <w:rFonts w:ascii="Times New Roman" w:hAnsi="Times New Roman" w:cs="Times New Roman"/>
                <w:sz w:val="20"/>
              </w:rPr>
            </w:pPr>
          </w:p>
          <w:p w14:paraId="404B8B59" w14:textId="77777777" w:rsidR="00C10E86" w:rsidRDefault="00C10E86" w:rsidP="009E4AFC">
            <w:pPr>
              <w:spacing w:before="120" w:after="120"/>
              <w:jc w:val="both"/>
              <w:rPr>
                <w:rFonts w:ascii="Times New Roman" w:hAnsi="Times New Roman" w:cs="Times New Roman"/>
                <w:sz w:val="20"/>
              </w:rPr>
            </w:pPr>
          </w:p>
          <w:p w14:paraId="2F463F1E" w14:textId="3FC2C514" w:rsidR="00C10E86" w:rsidRPr="00390843" w:rsidRDefault="00C10E86" w:rsidP="009E4AFC">
            <w:pPr>
              <w:spacing w:before="120" w:after="120"/>
              <w:jc w:val="both"/>
              <w:rPr>
                <w:rFonts w:ascii="Times New Roman" w:hAnsi="Times New Roman" w:cs="Times New Roman"/>
                <w:sz w:val="20"/>
              </w:rPr>
            </w:pPr>
          </w:p>
        </w:tc>
      </w:tr>
      <w:tr w:rsidR="0099084C" w:rsidRPr="00FF4480" w14:paraId="5286A563" w14:textId="77777777" w:rsidTr="002F40D5">
        <w:trPr>
          <w:jc w:val="center"/>
        </w:trPr>
        <w:tc>
          <w:tcPr>
            <w:tcW w:w="14220" w:type="dxa"/>
            <w:gridSpan w:val="5"/>
            <w:shd w:val="clear" w:color="auto" w:fill="C6D9F1" w:themeFill="text2" w:themeFillTint="33"/>
          </w:tcPr>
          <w:p w14:paraId="0FD0A640" w14:textId="77777777" w:rsidR="0099084C" w:rsidRPr="00865AF4" w:rsidRDefault="0099084C" w:rsidP="0099084C">
            <w:pPr>
              <w:spacing w:before="120" w:after="120"/>
              <w:jc w:val="center"/>
              <w:rPr>
                <w:rFonts w:ascii="Times New Roman" w:hAnsi="Times New Roman" w:cs="Times New Roman"/>
                <w:color w:val="365F91" w:themeColor="accent1" w:themeShade="BF"/>
                <w:sz w:val="24"/>
                <w:szCs w:val="24"/>
                <w:u w:val="single"/>
              </w:rPr>
            </w:pPr>
            <w:r w:rsidRPr="00865AF4">
              <w:rPr>
                <w:rFonts w:ascii="Times New Roman" w:hAnsi="Times New Roman" w:cs="Times New Roman"/>
                <w:b/>
                <w:bCs/>
                <w:color w:val="000000" w:themeColor="text1"/>
                <w:sz w:val="24"/>
                <w:szCs w:val="24"/>
              </w:rPr>
              <w:t>Uwagi do OSR</w:t>
            </w:r>
          </w:p>
        </w:tc>
      </w:tr>
      <w:tr w:rsidR="0099084C" w:rsidRPr="00FF4480" w14:paraId="7FB028E7" w14:textId="77777777" w:rsidTr="00E9565F">
        <w:trPr>
          <w:jc w:val="center"/>
        </w:trPr>
        <w:tc>
          <w:tcPr>
            <w:tcW w:w="554" w:type="dxa"/>
          </w:tcPr>
          <w:p w14:paraId="6BB53EAE"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233284F6" w14:textId="6A397EF4" w:rsidR="0099084C" w:rsidRPr="00474942"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64238CA2" w14:textId="2A337240"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1-3</w:t>
            </w:r>
          </w:p>
        </w:tc>
        <w:tc>
          <w:tcPr>
            <w:tcW w:w="5670" w:type="dxa"/>
            <w:vAlign w:val="center"/>
          </w:tcPr>
          <w:p w14:paraId="42D716B1" w14:textId="43791EA1" w:rsidR="0099084C" w:rsidRPr="00474942" w:rsidRDefault="0099084C" w:rsidP="0099084C">
            <w:pPr>
              <w:spacing w:before="120" w:after="120"/>
              <w:jc w:val="both"/>
              <w:rPr>
                <w:rFonts w:ascii="Times New Roman" w:hAnsi="Times New Roman" w:cs="Times New Roman"/>
                <w:sz w:val="20"/>
              </w:rPr>
            </w:pPr>
            <w:r w:rsidRPr="0058074B">
              <w:rPr>
                <w:rFonts w:ascii="Times New Roman" w:hAnsi="Times New Roman" w:cs="Times New Roman"/>
                <w:sz w:val="20"/>
              </w:rPr>
              <w:t xml:space="preserve">Uwagi zawarte powyżej </w:t>
            </w:r>
            <w:r w:rsidR="00212B52">
              <w:rPr>
                <w:rFonts w:ascii="Times New Roman" w:hAnsi="Times New Roman" w:cs="Times New Roman"/>
                <w:sz w:val="20"/>
              </w:rPr>
              <w:t>[</w:t>
            </w:r>
            <w:r w:rsidR="00212B52" w:rsidRPr="00212B52">
              <w:rPr>
                <w:rFonts w:ascii="Times New Roman" w:hAnsi="Times New Roman" w:cs="Times New Roman"/>
                <w:i/>
                <w:iCs/>
                <w:sz w:val="20"/>
              </w:rPr>
              <w:t xml:space="preserve">zgłoszone przez Stowarzyszenie </w:t>
            </w:r>
            <w:r w:rsidR="00212B52">
              <w:rPr>
                <w:rFonts w:ascii="Times New Roman" w:hAnsi="Times New Roman" w:cs="Times New Roman"/>
                <w:i/>
                <w:iCs/>
                <w:sz w:val="20"/>
              </w:rPr>
              <w:t xml:space="preserve">wyżej </w:t>
            </w:r>
            <w:r w:rsidR="00212B52" w:rsidRPr="00212B52">
              <w:rPr>
                <w:rFonts w:ascii="Times New Roman" w:hAnsi="Times New Roman" w:cs="Times New Roman"/>
                <w:i/>
                <w:iCs/>
                <w:sz w:val="20"/>
              </w:rPr>
              <w:t xml:space="preserve">– przyp. </w:t>
            </w:r>
            <w:proofErr w:type="spellStart"/>
            <w:r w:rsidR="00212B52" w:rsidRPr="00212B52">
              <w:rPr>
                <w:rFonts w:ascii="Times New Roman" w:hAnsi="Times New Roman" w:cs="Times New Roman"/>
                <w:i/>
                <w:iCs/>
                <w:sz w:val="20"/>
              </w:rPr>
              <w:t>MRiT</w:t>
            </w:r>
            <w:proofErr w:type="spellEnd"/>
            <w:r w:rsidR="00212B52">
              <w:rPr>
                <w:rFonts w:ascii="Times New Roman" w:hAnsi="Times New Roman" w:cs="Times New Roman"/>
                <w:sz w:val="20"/>
              </w:rPr>
              <w:t xml:space="preserve">] </w:t>
            </w:r>
            <w:r w:rsidRPr="0058074B">
              <w:rPr>
                <w:rFonts w:ascii="Times New Roman" w:hAnsi="Times New Roman" w:cs="Times New Roman"/>
                <w:sz w:val="20"/>
              </w:rPr>
              <w:t>odnoszą się również do Części 1-3 Oceny skutków Regulacji i w częściach Uwagi do projektu i Uwagi do Uzasadnienia zostały szczegółowo omówione.</w:t>
            </w:r>
          </w:p>
        </w:tc>
        <w:tc>
          <w:tcPr>
            <w:tcW w:w="4160" w:type="dxa"/>
          </w:tcPr>
          <w:p w14:paraId="061519FD" w14:textId="77777777" w:rsidR="0099084C" w:rsidRPr="00B82D67" w:rsidRDefault="00B82D67" w:rsidP="0099084C">
            <w:pPr>
              <w:spacing w:before="120" w:after="120"/>
              <w:jc w:val="both"/>
              <w:rPr>
                <w:rFonts w:ascii="Times New Roman" w:hAnsi="Times New Roman" w:cs="Times New Roman"/>
                <w:sz w:val="20"/>
                <w:u w:val="single"/>
              </w:rPr>
            </w:pPr>
            <w:r w:rsidRPr="00B82D67">
              <w:rPr>
                <w:rFonts w:ascii="Times New Roman" w:hAnsi="Times New Roman" w:cs="Times New Roman"/>
                <w:sz w:val="20"/>
                <w:u w:val="single"/>
              </w:rPr>
              <w:t>Komentarz do uwagi</w:t>
            </w:r>
          </w:p>
          <w:p w14:paraId="508E5719" w14:textId="0FD4268D" w:rsidR="00B82D67" w:rsidRPr="005D7262" w:rsidRDefault="00B82D67" w:rsidP="0099084C">
            <w:pPr>
              <w:spacing w:before="120" w:after="120"/>
              <w:jc w:val="both"/>
              <w:rPr>
                <w:rFonts w:ascii="Times New Roman" w:hAnsi="Times New Roman" w:cs="Times New Roman"/>
                <w:sz w:val="20"/>
              </w:rPr>
            </w:pPr>
            <w:r w:rsidRPr="00B82D67">
              <w:rPr>
                <w:rFonts w:ascii="Times New Roman" w:hAnsi="Times New Roman" w:cs="Times New Roman"/>
                <w:sz w:val="20"/>
              </w:rPr>
              <w:t>Odpowied</w:t>
            </w:r>
            <w:r>
              <w:rPr>
                <w:rFonts w:ascii="Times New Roman" w:hAnsi="Times New Roman" w:cs="Times New Roman"/>
                <w:sz w:val="20"/>
              </w:rPr>
              <w:t>zi</w:t>
            </w:r>
            <w:r w:rsidRPr="00B82D67">
              <w:rPr>
                <w:rFonts w:ascii="Times New Roman" w:hAnsi="Times New Roman" w:cs="Times New Roman"/>
                <w:sz w:val="20"/>
              </w:rPr>
              <w:t xml:space="preserve"> został</w:t>
            </w:r>
            <w:r>
              <w:rPr>
                <w:rFonts w:ascii="Times New Roman" w:hAnsi="Times New Roman" w:cs="Times New Roman"/>
                <w:sz w:val="20"/>
              </w:rPr>
              <w:t>y</w:t>
            </w:r>
            <w:r w:rsidRPr="00B82D67">
              <w:rPr>
                <w:rFonts w:ascii="Times New Roman" w:hAnsi="Times New Roman" w:cs="Times New Roman"/>
                <w:sz w:val="20"/>
              </w:rPr>
              <w:t xml:space="preserve"> udzielon</w:t>
            </w:r>
            <w:r>
              <w:rPr>
                <w:rFonts w:ascii="Times New Roman" w:hAnsi="Times New Roman" w:cs="Times New Roman"/>
                <w:sz w:val="20"/>
              </w:rPr>
              <w:t>e</w:t>
            </w:r>
            <w:r w:rsidRPr="00B82D67">
              <w:rPr>
                <w:rFonts w:ascii="Times New Roman" w:hAnsi="Times New Roman" w:cs="Times New Roman"/>
                <w:sz w:val="20"/>
              </w:rPr>
              <w:t xml:space="preserve"> w kontekście przywołan</w:t>
            </w:r>
            <w:r>
              <w:rPr>
                <w:rFonts w:ascii="Times New Roman" w:hAnsi="Times New Roman" w:cs="Times New Roman"/>
                <w:sz w:val="20"/>
              </w:rPr>
              <w:t>ych</w:t>
            </w:r>
            <w:r w:rsidRPr="00B82D67">
              <w:rPr>
                <w:rFonts w:ascii="Times New Roman" w:hAnsi="Times New Roman" w:cs="Times New Roman"/>
                <w:sz w:val="20"/>
              </w:rPr>
              <w:t xml:space="preserve"> przez Stowarzyszenie </w:t>
            </w:r>
            <w:r>
              <w:rPr>
                <w:rFonts w:ascii="Times New Roman" w:hAnsi="Times New Roman" w:cs="Times New Roman"/>
                <w:sz w:val="20"/>
              </w:rPr>
              <w:t>uwag</w:t>
            </w:r>
            <w:r w:rsidRPr="00B82D67">
              <w:rPr>
                <w:rFonts w:ascii="Times New Roman" w:hAnsi="Times New Roman" w:cs="Times New Roman"/>
                <w:sz w:val="20"/>
              </w:rPr>
              <w:t>.</w:t>
            </w:r>
          </w:p>
        </w:tc>
      </w:tr>
      <w:tr w:rsidR="0099084C" w:rsidRPr="00FF4480" w14:paraId="4AADF9A2" w14:textId="77777777" w:rsidTr="00E9565F">
        <w:trPr>
          <w:jc w:val="center"/>
        </w:trPr>
        <w:tc>
          <w:tcPr>
            <w:tcW w:w="554" w:type="dxa"/>
          </w:tcPr>
          <w:p w14:paraId="56FDAA7F"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5C82B73B" w14:textId="6C4621FB" w:rsidR="0099084C" w:rsidRPr="0058074B" w:rsidRDefault="0099084C" w:rsidP="0099084C">
            <w:pPr>
              <w:spacing w:before="120" w:after="120"/>
              <w:rPr>
                <w:rFonts w:ascii="Times New Roman" w:hAnsi="Times New Roman" w:cs="Times New Roman"/>
                <w:sz w:val="20"/>
              </w:rPr>
            </w:pPr>
            <w:r w:rsidRPr="00134FB4">
              <w:rPr>
                <w:rFonts w:ascii="Times New Roman" w:hAnsi="Times New Roman" w:cs="Times New Roman"/>
                <w:sz w:val="20"/>
              </w:rPr>
              <w:t>Związek Banków Polskich</w:t>
            </w:r>
          </w:p>
        </w:tc>
        <w:tc>
          <w:tcPr>
            <w:tcW w:w="1905" w:type="dxa"/>
            <w:vAlign w:val="center"/>
          </w:tcPr>
          <w:p w14:paraId="1DBC3E42" w14:textId="5992931E"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2</w:t>
            </w:r>
          </w:p>
        </w:tc>
        <w:tc>
          <w:tcPr>
            <w:tcW w:w="5670" w:type="dxa"/>
            <w:vAlign w:val="center"/>
          </w:tcPr>
          <w:p w14:paraId="76051FE6" w14:textId="77777777" w:rsidR="0099084C" w:rsidRPr="00134FB4" w:rsidRDefault="0099084C" w:rsidP="0099084C">
            <w:pPr>
              <w:spacing w:before="120" w:after="120"/>
              <w:jc w:val="both"/>
              <w:rPr>
                <w:rFonts w:ascii="Times New Roman" w:hAnsi="Times New Roman" w:cs="Times New Roman"/>
                <w:sz w:val="20"/>
              </w:rPr>
            </w:pPr>
            <w:r w:rsidRPr="00134FB4">
              <w:rPr>
                <w:rFonts w:ascii="Times New Roman" w:hAnsi="Times New Roman" w:cs="Times New Roman"/>
                <w:sz w:val="20"/>
              </w:rPr>
              <w:t xml:space="preserve">Najistotniejsze rozwiązania zawarte w projekcie ustawy obejmują: </w:t>
            </w:r>
          </w:p>
          <w:p w14:paraId="59AD2C10" w14:textId="164300F5" w:rsidR="0099084C" w:rsidRPr="0058074B" w:rsidRDefault="0099084C" w:rsidP="0099084C">
            <w:pPr>
              <w:spacing w:before="120" w:after="120"/>
              <w:jc w:val="both"/>
              <w:rPr>
                <w:rFonts w:ascii="Times New Roman" w:hAnsi="Times New Roman" w:cs="Times New Roman"/>
                <w:sz w:val="20"/>
              </w:rPr>
            </w:pPr>
            <w:r w:rsidRPr="00134FB4">
              <w:rPr>
                <w:rFonts w:ascii="Times New Roman" w:hAnsi="Times New Roman" w:cs="Times New Roman"/>
                <w:sz w:val="20"/>
              </w:rPr>
              <w:t>Zasady dostępu do statystyk - w akcie bardzo ogólnie, głównie w odniesieniu do podmiotów uprawnionych</w:t>
            </w:r>
            <w:r>
              <w:rPr>
                <w:rFonts w:ascii="Times New Roman" w:hAnsi="Times New Roman" w:cs="Times New Roman"/>
                <w:sz w:val="20"/>
              </w:rPr>
              <w:t>.</w:t>
            </w:r>
          </w:p>
        </w:tc>
        <w:tc>
          <w:tcPr>
            <w:tcW w:w="4160" w:type="dxa"/>
          </w:tcPr>
          <w:p w14:paraId="1672ADD1" w14:textId="77777777" w:rsidR="00212B52" w:rsidRPr="00B82D67" w:rsidRDefault="00212B52" w:rsidP="00212B52">
            <w:pPr>
              <w:spacing w:before="120" w:after="120"/>
              <w:jc w:val="both"/>
              <w:rPr>
                <w:rFonts w:ascii="Times New Roman" w:hAnsi="Times New Roman" w:cs="Times New Roman"/>
                <w:sz w:val="20"/>
                <w:u w:val="single"/>
              </w:rPr>
            </w:pPr>
            <w:r w:rsidRPr="00B82D67">
              <w:rPr>
                <w:rFonts w:ascii="Times New Roman" w:hAnsi="Times New Roman" w:cs="Times New Roman"/>
                <w:sz w:val="20"/>
                <w:u w:val="single"/>
              </w:rPr>
              <w:t>Komentarz do uwagi</w:t>
            </w:r>
          </w:p>
          <w:p w14:paraId="63804398" w14:textId="64E9F457" w:rsidR="0099084C" w:rsidRPr="005D7262" w:rsidRDefault="00212B52" w:rsidP="0099084C">
            <w:pPr>
              <w:spacing w:before="120" w:after="120"/>
              <w:jc w:val="both"/>
              <w:rPr>
                <w:rFonts w:ascii="Times New Roman" w:hAnsi="Times New Roman" w:cs="Times New Roman"/>
                <w:sz w:val="20"/>
              </w:rPr>
            </w:pPr>
            <w:r>
              <w:rPr>
                <w:rFonts w:ascii="Times New Roman" w:hAnsi="Times New Roman" w:cs="Times New Roman"/>
                <w:sz w:val="20"/>
              </w:rPr>
              <w:t>Uwaga niezrozumiała.</w:t>
            </w:r>
          </w:p>
        </w:tc>
      </w:tr>
      <w:tr w:rsidR="0099084C" w:rsidRPr="00FF4480" w14:paraId="3BBD9E9B" w14:textId="77777777" w:rsidTr="00E9565F">
        <w:trPr>
          <w:jc w:val="center"/>
        </w:trPr>
        <w:tc>
          <w:tcPr>
            <w:tcW w:w="554" w:type="dxa"/>
          </w:tcPr>
          <w:p w14:paraId="58E252CE"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7D8F9CD2" w14:textId="095BE22C" w:rsidR="0099084C" w:rsidRPr="0058074B"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09802B63" w14:textId="250079D8"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4</w:t>
            </w:r>
          </w:p>
        </w:tc>
        <w:tc>
          <w:tcPr>
            <w:tcW w:w="5670" w:type="dxa"/>
            <w:vAlign w:val="center"/>
          </w:tcPr>
          <w:p w14:paraId="150D3BA0" w14:textId="1D3EAA3B" w:rsidR="0099084C" w:rsidRPr="0058074B" w:rsidRDefault="0099084C" w:rsidP="0099084C">
            <w:pPr>
              <w:spacing w:before="120" w:after="120"/>
              <w:jc w:val="both"/>
              <w:rPr>
                <w:rFonts w:ascii="Times New Roman" w:hAnsi="Times New Roman" w:cs="Times New Roman"/>
                <w:sz w:val="20"/>
              </w:rPr>
            </w:pPr>
            <w:r w:rsidRPr="0058074B">
              <w:rPr>
                <w:rFonts w:ascii="Times New Roman" w:hAnsi="Times New Roman" w:cs="Times New Roman"/>
                <w:sz w:val="20"/>
              </w:rPr>
              <w:t>Podmioty, na które oddziałuje projekt jednoznacznie wskazuje na dysproporcje ilościowe pomiędzy nimi. Znamiennym jest, że Projektodawca nie pokusił się o ustalenie szacunkowo ilu deweloperów jest w Polsce.</w:t>
            </w:r>
          </w:p>
        </w:tc>
        <w:tc>
          <w:tcPr>
            <w:tcW w:w="4160" w:type="dxa"/>
          </w:tcPr>
          <w:p w14:paraId="7D73F17D" w14:textId="77777777" w:rsidR="0099084C" w:rsidRPr="00212B52" w:rsidRDefault="00212B52" w:rsidP="0099084C">
            <w:pPr>
              <w:spacing w:before="120" w:after="120"/>
              <w:jc w:val="both"/>
              <w:rPr>
                <w:rFonts w:ascii="Times New Roman" w:hAnsi="Times New Roman" w:cs="Times New Roman"/>
                <w:sz w:val="20"/>
                <w:u w:val="single"/>
              </w:rPr>
            </w:pPr>
            <w:r w:rsidRPr="00212B52">
              <w:rPr>
                <w:rFonts w:ascii="Times New Roman" w:hAnsi="Times New Roman" w:cs="Times New Roman"/>
                <w:sz w:val="20"/>
                <w:u w:val="single"/>
              </w:rPr>
              <w:t>Komentarz do uwagi</w:t>
            </w:r>
          </w:p>
          <w:p w14:paraId="37B5279E" w14:textId="114D0F2F" w:rsidR="00B908F5" w:rsidRPr="005D7262" w:rsidRDefault="00B908F5" w:rsidP="0099084C">
            <w:pPr>
              <w:spacing w:before="120" w:after="120"/>
              <w:jc w:val="both"/>
              <w:rPr>
                <w:rFonts w:ascii="Times New Roman" w:hAnsi="Times New Roman" w:cs="Times New Roman"/>
                <w:sz w:val="20"/>
              </w:rPr>
            </w:pPr>
            <w:r>
              <w:rPr>
                <w:rFonts w:ascii="Times New Roman" w:hAnsi="Times New Roman" w:cs="Times New Roman"/>
                <w:sz w:val="20"/>
              </w:rPr>
              <w:t>Szacunki dotyczące liczby deweloperów są rozbieżne z powodów metodologicznych, m.in. ze względu na różne podejścia w zakresie uwzględniania poszczególnych kodów PKD.</w:t>
            </w:r>
            <w:r w:rsidR="00174C86">
              <w:rPr>
                <w:rFonts w:ascii="Times New Roman" w:hAnsi="Times New Roman" w:cs="Times New Roman"/>
                <w:sz w:val="20"/>
              </w:rPr>
              <w:t xml:space="preserve"> Ponadto nie jest to działalność regulowana, nie są również </w:t>
            </w:r>
            <w:r w:rsidR="000E1657">
              <w:rPr>
                <w:rFonts w:ascii="Times New Roman" w:hAnsi="Times New Roman" w:cs="Times New Roman"/>
                <w:sz w:val="20"/>
              </w:rPr>
              <w:t xml:space="preserve">prowadzone </w:t>
            </w:r>
            <w:r w:rsidR="00174C86">
              <w:rPr>
                <w:rFonts w:ascii="Times New Roman" w:hAnsi="Times New Roman" w:cs="Times New Roman"/>
                <w:sz w:val="20"/>
              </w:rPr>
              <w:t xml:space="preserve">oficjalne rejestry takich </w:t>
            </w:r>
            <w:r w:rsidR="00C10E86">
              <w:rPr>
                <w:rFonts w:ascii="Times New Roman" w:hAnsi="Times New Roman" w:cs="Times New Roman"/>
                <w:sz w:val="20"/>
              </w:rPr>
              <w:t>podmiotów</w:t>
            </w:r>
            <w:r w:rsidR="00174C86">
              <w:rPr>
                <w:rFonts w:ascii="Times New Roman" w:hAnsi="Times New Roman" w:cs="Times New Roman"/>
                <w:sz w:val="20"/>
              </w:rPr>
              <w:t xml:space="preserve">. </w:t>
            </w:r>
          </w:p>
        </w:tc>
      </w:tr>
      <w:tr w:rsidR="0099084C" w:rsidRPr="00FF4480" w14:paraId="4AD8E2B3" w14:textId="77777777" w:rsidTr="00E9565F">
        <w:trPr>
          <w:jc w:val="center"/>
        </w:trPr>
        <w:tc>
          <w:tcPr>
            <w:tcW w:w="554" w:type="dxa"/>
          </w:tcPr>
          <w:p w14:paraId="39E73513"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75EBDACA" w14:textId="75D9B179" w:rsidR="0099084C" w:rsidRPr="0058074B"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74355CC2" w14:textId="621B943F"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6</w:t>
            </w:r>
          </w:p>
        </w:tc>
        <w:tc>
          <w:tcPr>
            <w:tcW w:w="5670" w:type="dxa"/>
            <w:vAlign w:val="center"/>
          </w:tcPr>
          <w:p w14:paraId="2A36E3BF" w14:textId="77777777" w:rsidR="0099084C" w:rsidRPr="0058074B" w:rsidRDefault="0099084C" w:rsidP="0099084C">
            <w:pPr>
              <w:spacing w:before="120" w:after="120"/>
              <w:jc w:val="both"/>
              <w:rPr>
                <w:rFonts w:ascii="Times New Roman" w:hAnsi="Times New Roman" w:cs="Times New Roman"/>
                <w:sz w:val="20"/>
              </w:rPr>
            </w:pPr>
            <w:r w:rsidRPr="0058074B">
              <w:rPr>
                <w:rFonts w:ascii="Times New Roman" w:hAnsi="Times New Roman" w:cs="Times New Roman"/>
                <w:sz w:val="20"/>
              </w:rPr>
              <w:t>"Zgodnie z informacjami przekazanymi przez Ministra Finansów wprowadzenie zmian dotyczących danych i informacji pozyskiwanych przez Szefa KAS od notariuszy nie generuje kosztów zarówno po stronie Krajowej Rady Notarialnej, jak i Szefa KAS.".</w:t>
            </w:r>
          </w:p>
          <w:p w14:paraId="3E34758A" w14:textId="16CBD721" w:rsidR="0099084C" w:rsidRPr="0058074B" w:rsidRDefault="0099084C" w:rsidP="0099084C">
            <w:pPr>
              <w:spacing w:before="120" w:after="120"/>
              <w:jc w:val="both"/>
              <w:rPr>
                <w:rFonts w:ascii="Times New Roman" w:hAnsi="Times New Roman" w:cs="Times New Roman"/>
                <w:sz w:val="20"/>
              </w:rPr>
            </w:pPr>
            <w:r w:rsidRPr="0058074B">
              <w:rPr>
                <w:rFonts w:ascii="Times New Roman" w:hAnsi="Times New Roman" w:cs="Times New Roman"/>
                <w:sz w:val="20"/>
              </w:rPr>
              <w:t>Jest to zgodne z prawdą, bo koszt w tym zakresie ponosi wyłącznie jednostkowy notariusz, który musi system zabezpieczyć, przygotować, pracownika przyuczyć (może nawet zatrudnić go, bo tych obowiązków jest coraz więcej). To na notariusza został przerzucony cały obowiązek ujawnienia przewidzianych projektem danych, nie otrzymując nic w zamian, poza zwiększeniem odpowiedzialności, w tym, z całą pewnością dyscyplinarnej. Jest to wykorzystanie obywatela przez państwo i uprzywilejowanej pozycji państwa, które nakłada wyłącznie obowiązki, obarczone sankcjami.</w:t>
            </w:r>
          </w:p>
        </w:tc>
        <w:tc>
          <w:tcPr>
            <w:tcW w:w="4160" w:type="dxa"/>
          </w:tcPr>
          <w:p w14:paraId="6997ABBB" w14:textId="77777777" w:rsidR="00B908F5" w:rsidRPr="00212B52" w:rsidRDefault="00B908F5" w:rsidP="00B908F5">
            <w:pPr>
              <w:spacing w:before="120" w:after="120"/>
              <w:jc w:val="both"/>
              <w:rPr>
                <w:rFonts w:ascii="Times New Roman" w:hAnsi="Times New Roman" w:cs="Times New Roman"/>
                <w:sz w:val="20"/>
                <w:u w:val="single"/>
              </w:rPr>
            </w:pPr>
            <w:r w:rsidRPr="00212B52">
              <w:rPr>
                <w:rFonts w:ascii="Times New Roman" w:hAnsi="Times New Roman" w:cs="Times New Roman"/>
                <w:sz w:val="20"/>
                <w:u w:val="single"/>
              </w:rPr>
              <w:t>Komentarz do uwagi</w:t>
            </w:r>
          </w:p>
          <w:p w14:paraId="1C7FB035" w14:textId="3590AA09" w:rsidR="00B908F5" w:rsidRDefault="00B908F5" w:rsidP="0099084C">
            <w:pPr>
              <w:spacing w:before="120" w:after="120"/>
              <w:jc w:val="both"/>
              <w:rPr>
                <w:rFonts w:ascii="Times New Roman" w:hAnsi="Times New Roman" w:cs="Times New Roman"/>
                <w:sz w:val="20"/>
              </w:rPr>
            </w:pPr>
            <w:r>
              <w:rPr>
                <w:rFonts w:ascii="Times New Roman" w:hAnsi="Times New Roman" w:cs="Times New Roman"/>
                <w:sz w:val="20"/>
              </w:rPr>
              <w:t>Przedstawiona w OSR informacja jest zgodna ze stanem faktycznym.</w:t>
            </w:r>
          </w:p>
          <w:p w14:paraId="7ED577AE" w14:textId="5E5BB0A3" w:rsidR="00B940A4" w:rsidRDefault="00B940A4" w:rsidP="00B940A4">
            <w:pPr>
              <w:spacing w:before="120" w:after="120"/>
              <w:jc w:val="both"/>
              <w:rPr>
                <w:rFonts w:ascii="Times New Roman" w:hAnsi="Times New Roman" w:cs="Times New Roman"/>
                <w:sz w:val="20"/>
                <w:highlight w:val="yellow"/>
              </w:rPr>
            </w:pPr>
            <w:r>
              <w:rPr>
                <w:rFonts w:ascii="Times New Roman" w:hAnsi="Times New Roman" w:cs="Times New Roman"/>
                <w:sz w:val="20"/>
              </w:rPr>
              <w:t>P</w:t>
            </w:r>
            <w:r w:rsidRPr="006E555C">
              <w:rPr>
                <w:rFonts w:ascii="Times New Roman" w:hAnsi="Times New Roman" w:cs="Times New Roman"/>
                <w:sz w:val="20"/>
              </w:rPr>
              <w:t>rojekt ustawy nie zawiera propozycji nałożenia na notariuszy obowiązku dokonania nowej czynności, ale jedynie rozszerzenia zakresu danych sprawozdawanych w ramach już obecnie wykonywanej czynności. Rozszerzenie to</w:t>
            </w:r>
            <w:r>
              <w:rPr>
                <w:rFonts w:ascii="Times New Roman" w:hAnsi="Times New Roman" w:cs="Times New Roman"/>
                <w:sz w:val="20"/>
              </w:rPr>
              <w:t> </w:t>
            </w:r>
            <w:r w:rsidRPr="006E555C">
              <w:rPr>
                <w:rFonts w:ascii="Times New Roman" w:hAnsi="Times New Roman" w:cs="Times New Roman"/>
                <w:sz w:val="20"/>
              </w:rPr>
              <w:t xml:space="preserve">obejmuje jedynie 5 kategorii danych, </w:t>
            </w:r>
            <w:r w:rsidR="00602E06" w:rsidRPr="00602E06">
              <w:rPr>
                <w:rFonts w:ascii="Times New Roman" w:hAnsi="Times New Roman" w:cs="Times New Roman"/>
                <w:sz w:val="20"/>
              </w:rPr>
              <w:t xml:space="preserve">łatwych do identyfikacji w ramach sporządzanego aktu notarialnego, </w:t>
            </w:r>
            <w:r w:rsidRPr="006E555C">
              <w:rPr>
                <w:rFonts w:ascii="Times New Roman" w:hAnsi="Times New Roman" w:cs="Times New Roman"/>
                <w:sz w:val="20"/>
              </w:rPr>
              <w:t>co</w:t>
            </w:r>
            <w:r>
              <w:rPr>
                <w:rFonts w:ascii="Times New Roman" w:hAnsi="Times New Roman" w:cs="Times New Roman"/>
                <w:sz w:val="20"/>
              </w:rPr>
              <w:t> </w:t>
            </w:r>
            <w:r w:rsidRPr="006E555C">
              <w:rPr>
                <w:rFonts w:ascii="Times New Roman" w:hAnsi="Times New Roman" w:cs="Times New Roman"/>
                <w:sz w:val="20"/>
              </w:rPr>
              <w:t>stanowi relatywnie niewielki procent informacji przekazywanych przez notariuszy KAS.</w:t>
            </w:r>
            <w:r w:rsidR="00B16428">
              <w:rPr>
                <w:rFonts w:ascii="Times New Roman" w:hAnsi="Times New Roman" w:cs="Times New Roman"/>
                <w:sz w:val="20"/>
              </w:rPr>
              <w:t xml:space="preserve"> </w:t>
            </w:r>
            <w:r w:rsidR="00B16428" w:rsidRPr="00B16428">
              <w:rPr>
                <w:rFonts w:ascii="Times New Roman" w:hAnsi="Times New Roman" w:cs="Times New Roman"/>
                <w:sz w:val="20"/>
              </w:rPr>
              <w:t>Dodatkowo, nie dla każdej transakcji wszystkie te dane będą wprowadzane (odmienne informacje dotyczą domów jednorodzinnych i lokali mieszkalnych).</w:t>
            </w:r>
          </w:p>
          <w:p w14:paraId="5E5D4798" w14:textId="77777777" w:rsidR="00B940A4" w:rsidRDefault="00B940A4" w:rsidP="00B940A4">
            <w:pPr>
              <w:spacing w:before="120" w:after="120"/>
              <w:jc w:val="both"/>
              <w:rPr>
                <w:rFonts w:ascii="Times New Roman" w:hAnsi="Times New Roman" w:cs="Times New Roman"/>
                <w:sz w:val="20"/>
              </w:rPr>
            </w:pPr>
            <w:r>
              <w:rPr>
                <w:rFonts w:ascii="Times New Roman" w:hAnsi="Times New Roman" w:cs="Times New Roman"/>
                <w:sz w:val="20"/>
              </w:rPr>
              <w:t xml:space="preserve">Podobne jak </w:t>
            </w:r>
            <w:proofErr w:type="spellStart"/>
            <w:r>
              <w:rPr>
                <w:rFonts w:ascii="Times New Roman" w:hAnsi="Times New Roman" w:cs="Times New Roman"/>
                <w:sz w:val="20"/>
              </w:rPr>
              <w:t>MRiT</w:t>
            </w:r>
            <w:proofErr w:type="spellEnd"/>
            <w:r>
              <w:rPr>
                <w:rFonts w:ascii="Times New Roman" w:hAnsi="Times New Roman" w:cs="Times New Roman"/>
                <w:sz w:val="20"/>
              </w:rPr>
              <w:t xml:space="preserve"> stanowisko do przedmiotowej uwagi w toku analizy zastrzeżeń notariuszy wyraził Minister Sprawiedliwości. W </w:t>
            </w:r>
            <w:r w:rsidRPr="00B37B1E">
              <w:rPr>
                <w:rFonts w:ascii="Times New Roman" w:hAnsi="Times New Roman" w:cs="Times New Roman"/>
                <w:sz w:val="20"/>
              </w:rPr>
              <w:t xml:space="preserve">opinii przekazanej przez </w:t>
            </w:r>
            <w:r>
              <w:rPr>
                <w:rFonts w:ascii="Times New Roman" w:hAnsi="Times New Roman" w:cs="Times New Roman"/>
                <w:sz w:val="20"/>
              </w:rPr>
              <w:t>MS 29 października 2024 r.</w:t>
            </w:r>
            <w:r w:rsidRPr="00B37B1E">
              <w:rPr>
                <w:rFonts w:ascii="Times New Roman" w:hAnsi="Times New Roman" w:cs="Times New Roman"/>
                <w:sz w:val="20"/>
              </w:rPr>
              <w:t xml:space="preserve"> </w:t>
            </w:r>
            <w:r>
              <w:rPr>
                <w:rFonts w:ascii="Times New Roman" w:hAnsi="Times New Roman" w:cs="Times New Roman"/>
                <w:sz w:val="20"/>
              </w:rPr>
              <w:t>wskazano</w:t>
            </w:r>
            <w:r w:rsidRPr="00B37B1E">
              <w:rPr>
                <w:rFonts w:ascii="Times New Roman" w:hAnsi="Times New Roman" w:cs="Times New Roman"/>
                <w:sz w:val="20"/>
              </w:rPr>
              <w:t>, że „projektowane przepisy nie wprowadzają nowych rodzajów czynności notarialnych,</w:t>
            </w:r>
            <w:r>
              <w:rPr>
                <w:rFonts w:ascii="Times New Roman" w:hAnsi="Times New Roman" w:cs="Times New Roman"/>
                <w:sz w:val="20"/>
              </w:rPr>
              <w:t xml:space="preserve"> </w:t>
            </w:r>
            <w:r w:rsidRPr="00B37B1E">
              <w:rPr>
                <w:rFonts w:ascii="Times New Roman" w:hAnsi="Times New Roman" w:cs="Times New Roman"/>
                <w:sz w:val="20"/>
              </w:rPr>
              <w:t>które czyniłyby niezbędnym dostosowanie do nich przepisów rozporządzenia</w:t>
            </w:r>
            <w:r>
              <w:rPr>
                <w:rFonts w:ascii="Times New Roman" w:hAnsi="Times New Roman" w:cs="Times New Roman"/>
                <w:sz w:val="20"/>
              </w:rPr>
              <w:t xml:space="preserve"> </w:t>
            </w:r>
            <w:r w:rsidRPr="00B37B1E">
              <w:rPr>
                <w:rFonts w:ascii="Times New Roman" w:hAnsi="Times New Roman" w:cs="Times New Roman"/>
                <w:i/>
                <w:iCs/>
                <w:sz w:val="20"/>
              </w:rPr>
              <w:t>[tj. rozporządzenia Ministra Sprawiedliwości z</w:t>
            </w:r>
            <w:r>
              <w:rPr>
                <w:rFonts w:ascii="Times New Roman" w:hAnsi="Times New Roman" w:cs="Times New Roman"/>
                <w:i/>
                <w:iCs/>
                <w:sz w:val="20"/>
              </w:rPr>
              <w:t> </w:t>
            </w:r>
            <w:r w:rsidRPr="00B37B1E">
              <w:rPr>
                <w:rFonts w:ascii="Times New Roman" w:hAnsi="Times New Roman" w:cs="Times New Roman"/>
                <w:i/>
                <w:iCs/>
                <w:sz w:val="20"/>
              </w:rPr>
              <w:t xml:space="preserve">dnia 28 czerwca 2004 r. w sprawie maksymalnych stawek taksy notarialnej – przyp. </w:t>
            </w:r>
            <w:proofErr w:type="spellStart"/>
            <w:r w:rsidRPr="00B37B1E">
              <w:rPr>
                <w:rFonts w:ascii="Times New Roman" w:hAnsi="Times New Roman" w:cs="Times New Roman"/>
                <w:i/>
                <w:iCs/>
                <w:sz w:val="20"/>
              </w:rPr>
              <w:lastRenderedPageBreak/>
              <w:t>MRiT</w:t>
            </w:r>
            <w:proofErr w:type="spellEnd"/>
            <w:r w:rsidRPr="00B37B1E">
              <w:rPr>
                <w:rFonts w:ascii="Times New Roman" w:hAnsi="Times New Roman" w:cs="Times New Roman"/>
                <w:i/>
                <w:iCs/>
                <w:sz w:val="20"/>
              </w:rPr>
              <w:t>]</w:t>
            </w:r>
            <w:r>
              <w:rPr>
                <w:rFonts w:ascii="Times New Roman" w:hAnsi="Times New Roman" w:cs="Times New Roman"/>
                <w:sz w:val="20"/>
              </w:rPr>
              <w:t xml:space="preserve"> </w:t>
            </w:r>
            <w:r w:rsidRPr="00B37B1E">
              <w:rPr>
                <w:rFonts w:ascii="Times New Roman" w:hAnsi="Times New Roman" w:cs="Times New Roman"/>
                <w:sz w:val="20"/>
              </w:rPr>
              <w:t>jeszcze</w:t>
            </w:r>
            <w:r>
              <w:rPr>
                <w:rFonts w:ascii="Times New Roman" w:hAnsi="Times New Roman" w:cs="Times New Roman"/>
                <w:sz w:val="20"/>
              </w:rPr>
              <w:t xml:space="preserve"> </w:t>
            </w:r>
            <w:r w:rsidRPr="00B37B1E">
              <w:rPr>
                <w:rFonts w:ascii="Times New Roman" w:hAnsi="Times New Roman" w:cs="Times New Roman"/>
                <w:sz w:val="20"/>
              </w:rPr>
              <w:t>przed ich wejściem w życie. Opiniujący nie przedstawili również żadnych konkretnych</w:t>
            </w:r>
            <w:r>
              <w:rPr>
                <w:rFonts w:ascii="Times New Roman" w:hAnsi="Times New Roman" w:cs="Times New Roman"/>
                <w:sz w:val="20"/>
              </w:rPr>
              <w:t xml:space="preserve"> </w:t>
            </w:r>
            <w:r w:rsidRPr="00B37B1E">
              <w:rPr>
                <w:rFonts w:ascii="Times New Roman" w:hAnsi="Times New Roman" w:cs="Times New Roman"/>
                <w:sz w:val="20"/>
              </w:rPr>
              <w:t>propozycji odnośnie do wartości czy też metodologii tej waloryzacji.</w:t>
            </w:r>
            <w:r>
              <w:rPr>
                <w:rFonts w:ascii="Times New Roman" w:hAnsi="Times New Roman" w:cs="Times New Roman"/>
                <w:sz w:val="20"/>
              </w:rPr>
              <w:t xml:space="preserve"> </w:t>
            </w:r>
          </w:p>
          <w:p w14:paraId="7D8DFABB" w14:textId="0A2937D2" w:rsidR="0099084C" w:rsidRPr="005D7262" w:rsidRDefault="00B940A4" w:rsidP="0099084C">
            <w:pPr>
              <w:spacing w:before="120" w:after="120"/>
              <w:jc w:val="both"/>
              <w:rPr>
                <w:rFonts w:ascii="Times New Roman" w:hAnsi="Times New Roman" w:cs="Times New Roman"/>
                <w:sz w:val="20"/>
              </w:rPr>
            </w:pPr>
            <w:r w:rsidRPr="00B37B1E">
              <w:rPr>
                <w:rFonts w:ascii="Times New Roman" w:hAnsi="Times New Roman" w:cs="Times New Roman"/>
                <w:sz w:val="20"/>
              </w:rPr>
              <w:t>Jednocześnie zarówno zagadnienie wzrostu obciążeń notariuszy o</w:t>
            </w:r>
            <w:r>
              <w:rPr>
                <w:rFonts w:ascii="Times New Roman" w:hAnsi="Times New Roman" w:cs="Times New Roman"/>
                <w:sz w:val="20"/>
              </w:rPr>
              <w:t xml:space="preserve"> </w:t>
            </w:r>
            <w:r w:rsidRPr="00B37B1E">
              <w:rPr>
                <w:rFonts w:ascii="Times New Roman" w:hAnsi="Times New Roman" w:cs="Times New Roman"/>
                <w:sz w:val="20"/>
              </w:rPr>
              <w:t>charakterze</w:t>
            </w:r>
            <w:r>
              <w:rPr>
                <w:rFonts w:ascii="Times New Roman" w:hAnsi="Times New Roman" w:cs="Times New Roman"/>
                <w:sz w:val="20"/>
              </w:rPr>
              <w:t xml:space="preserve"> </w:t>
            </w:r>
            <w:r w:rsidRPr="00B37B1E">
              <w:rPr>
                <w:rFonts w:ascii="Times New Roman" w:hAnsi="Times New Roman" w:cs="Times New Roman"/>
                <w:sz w:val="20"/>
              </w:rPr>
              <w:t>„sprawozdawczo-notyfikacyjnym”, jak też zgłaszanych przez organy samorządu</w:t>
            </w:r>
            <w:r>
              <w:rPr>
                <w:rFonts w:ascii="Times New Roman" w:hAnsi="Times New Roman" w:cs="Times New Roman"/>
                <w:sz w:val="20"/>
              </w:rPr>
              <w:t xml:space="preserve"> </w:t>
            </w:r>
            <w:r w:rsidRPr="00B37B1E">
              <w:rPr>
                <w:rFonts w:ascii="Times New Roman" w:hAnsi="Times New Roman" w:cs="Times New Roman"/>
                <w:sz w:val="20"/>
              </w:rPr>
              <w:t>notarialnego postulatów konieczności aktualizacji maksymalnych stawek taksy notarialnej</w:t>
            </w:r>
            <w:r>
              <w:rPr>
                <w:rFonts w:ascii="Times New Roman" w:hAnsi="Times New Roman" w:cs="Times New Roman"/>
                <w:sz w:val="20"/>
              </w:rPr>
              <w:t xml:space="preserve"> </w:t>
            </w:r>
            <w:r w:rsidRPr="00B37B1E">
              <w:rPr>
                <w:rFonts w:ascii="Times New Roman" w:hAnsi="Times New Roman" w:cs="Times New Roman"/>
                <w:sz w:val="20"/>
              </w:rPr>
              <w:t>jest znana resortowi sprawiedliwości. Podkreślić należy, że wszczęcie prac w tym zakresie</w:t>
            </w:r>
            <w:r>
              <w:rPr>
                <w:rFonts w:ascii="Times New Roman" w:hAnsi="Times New Roman" w:cs="Times New Roman"/>
                <w:sz w:val="20"/>
              </w:rPr>
              <w:t xml:space="preserve"> </w:t>
            </w:r>
            <w:r w:rsidRPr="00B37B1E">
              <w:rPr>
                <w:rFonts w:ascii="Times New Roman" w:hAnsi="Times New Roman" w:cs="Times New Roman"/>
                <w:sz w:val="20"/>
              </w:rPr>
              <w:t>wymaga kierunkowej decyzji, w</w:t>
            </w:r>
            <w:r>
              <w:rPr>
                <w:rFonts w:ascii="Times New Roman" w:hAnsi="Times New Roman" w:cs="Times New Roman"/>
                <w:sz w:val="20"/>
              </w:rPr>
              <w:t> </w:t>
            </w:r>
            <w:r w:rsidRPr="00B37B1E">
              <w:rPr>
                <w:rFonts w:ascii="Times New Roman" w:hAnsi="Times New Roman" w:cs="Times New Roman"/>
                <w:sz w:val="20"/>
              </w:rPr>
              <w:t>szczególności w świetle okoliczności, że podobne</w:t>
            </w:r>
            <w:r>
              <w:rPr>
                <w:rFonts w:ascii="Times New Roman" w:hAnsi="Times New Roman" w:cs="Times New Roman"/>
                <w:sz w:val="20"/>
              </w:rPr>
              <w:t xml:space="preserve"> </w:t>
            </w:r>
            <w:r w:rsidRPr="00B37B1E">
              <w:rPr>
                <w:rFonts w:ascii="Times New Roman" w:hAnsi="Times New Roman" w:cs="Times New Roman"/>
                <w:sz w:val="20"/>
              </w:rPr>
              <w:t>postulaty można sformułować również odnośnie do stawek urzędowych wynagrodzeń</w:t>
            </w:r>
            <w:r>
              <w:rPr>
                <w:rFonts w:ascii="Times New Roman" w:hAnsi="Times New Roman" w:cs="Times New Roman"/>
                <w:sz w:val="20"/>
              </w:rPr>
              <w:t xml:space="preserve"> </w:t>
            </w:r>
            <w:r w:rsidRPr="00B37B1E">
              <w:rPr>
                <w:rFonts w:ascii="Times New Roman" w:hAnsi="Times New Roman" w:cs="Times New Roman"/>
                <w:sz w:val="20"/>
              </w:rPr>
              <w:t>obowiązujących przedstawicieli innych zawodów prawniczych, jak też aktualnych opłat</w:t>
            </w:r>
            <w:r>
              <w:rPr>
                <w:rFonts w:ascii="Times New Roman" w:hAnsi="Times New Roman" w:cs="Times New Roman"/>
                <w:sz w:val="20"/>
              </w:rPr>
              <w:t xml:space="preserve"> </w:t>
            </w:r>
            <w:r w:rsidRPr="00B37B1E">
              <w:rPr>
                <w:rFonts w:ascii="Times New Roman" w:hAnsi="Times New Roman" w:cs="Times New Roman"/>
                <w:sz w:val="20"/>
              </w:rPr>
              <w:t>sądowych. W tym kontekście nie wydaje się zasadne uzależnianie dopuszczalności</w:t>
            </w:r>
            <w:r>
              <w:rPr>
                <w:rFonts w:ascii="Times New Roman" w:hAnsi="Times New Roman" w:cs="Times New Roman"/>
                <w:sz w:val="20"/>
              </w:rPr>
              <w:t xml:space="preserve"> </w:t>
            </w:r>
            <w:r w:rsidRPr="00B37B1E">
              <w:rPr>
                <w:rFonts w:ascii="Times New Roman" w:hAnsi="Times New Roman" w:cs="Times New Roman"/>
                <w:sz w:val="20"/>
              </w:rPr>
              <w:t>wprowadzenia projektowanych zmian od waloryzacji taksy notarialnej. W tej sytuacji</w:t>
            </w:r>
            <w:r>
              <w:rPr>
                <w:rFonts w:ascii="Times New Roman" w:hAnsi="Times New Roman" w:cs="Times New Roman"/>
                <w:sz w:val="20"/>
              </w:rPr>
              <w:t xml:space="preserve"> </w:t>
            </w:r>
            <w:r w:rsidRPr="00B37B1E">
              <w:rPr>
                <w:rFonts w:ascii="Times New Roman" w:hAnsi="Times New Roman" w:cs="Times New Roman"/>
                <w:sz w:val="20"/>
              </w:rPr>
              <w:t>należy tylko zasygnalizować, że przedmiotowe kwestie mają charakter wielowymiarowy</w:t>
            </w:r>
            <w:r>
              <w:rPr>
                <w:rFonts w:ascii="Times New Roman" w:hAnsi="Times New Roman" w:cs="Times New Roman"/>
                <w:sz w:val="20"/>
              </w:rPr>
              <w:t xml:space="preserve"> </w:t>
            </w:r>
            <w:r w:rsidRPr="00B37B1E">
              <w:rPr>
                <w:rFonts w:ascii="Times New Roman" w:hAnsi="Times New Roman" w:cs="Times New Roman"/>
                <w:sz w:val="20"/>
              </w:rPr>
              <w:t>i wymagają rozwiązań systemowych. Wzrostowi obciążeń „sprawozdawczo</w:t>
            </w:r>
            <w:r>
              <w:rPr>
                <w:rFonts w:ascii="Times New Roman" w:hAnsi="Times New Roman" w:cs="Times New Roman"/>
                <w:sz w:val="20"/>
              </w:rPr>
              <w:t>-</w:t>
            </w:r>
            <w:r w:rsidRPr="00B37B1E">
              <w:rPr>
                <w:rFonts w:ascii="Times New Roman" w:hAnsi="Times New Roman" w:cs="Times New Roman"/>
                <w:sz w:val="20"/>
              </w:rPr>
              <w:t>notyfikacyjnych” notariuszy towarzyszy bowiem postępująca informatyzacja organów</w:t>
            </w:r>
            <w:r>
              <w:rPr>
                <w:rFonts w:ascii="Times New Roman" w:hAnsi="Times New Roman" w:cs="Times New Roman"/>
                <w:sz w:val="20"/>
              </w:rPr>
              <w:t xml:space="preserve"> </w:t>
            </w:r>
            <w:r w:rsidRPr="00B37B1E">
              <w:rPr>
                <w:rFonts w:ascii="Times New Roman" w:hAnsi="Times New Roman" w:cs="Times New Roman"/>
                <w:sz w:val="20"/>
              </w:rPr>
              <w:t>administracji publicznej oraz sposobu prowadzenia kancelarii notarialnych, która winna</w:t>
            </w:r>
            <w:r>
              <w:rPr>
                <w:rFonts w:ascii="Times New Roman" w:hAnsi="Times New Roman" w:cs="Times New Roman"/>
                <w:sz w:val="20"/>
              </w:rPr>
              <w:t xml:space="preserve"> </w:t>
            </w:r>
            <w:r w:rsidRPr="00B37B1E">
              <w:rPr>
                <w:rFonts w:ascii="Times New Roman" w:hAnsi="Times New Roman" w:cs="Times New Roman"/>
                <w:sz w:val="20"/>
              </w:rPr>
              <w:t>prowadzić do zwiększenia ergonomii ich wykonywania. Podobnie realnemu spadkowi</w:t>
            </w:r>
            <w:r>
              <w:rPr>
                <w:rFonts w:ascii="Times New Roman" w:hAnsi="Times New Roman" w:cs="Times New Roman"/>
                <w:sz w:val="20"/>
              </w:rPr>
              <w:t xml:space="preserve"> </w:t>
            </w:r>
            <w:r w:rsidRPr="00B37B1E">
              <w:rPr>
                <w:rFonts w:ascii="Times New Roman" w:hAnsi="Times New Roman" w:cs="Times New Roman"/>
                <w:sz w:val="20"/>
              </w:rPr>
              <w:t>wartości stawek taksy notarialnej towarzyszy jednoczesny wzrost cen transakcyjnych</w:t>
            </w:r>
            <w:r>
              <w:rPr>
                <w:rFonts w:ascii="Times New Roman" w:hAnsi="Times New Roman" w:cs="Times New Roman"/>
                <w:sz w:val="20"/>
              </w:rPr>
              <w:t xml:space="preserve"> </w:t>
            </w:r>
            <w:r w:rsidRPr="00B37B1E">
              <w:rPr>
                <w:rFonts w:ascii="Times New Roman" w:hAnsi="Times New Roman" w:cs="Times New Roman"/>
                <w:sz w:val="20"/>
              </w:rPr>
              <w:t>w obrocie nieruchomościami, co prowadzi</w:t>
            </w:r>
            <w:r>
              <w:rPr>
                <w:rFonts w:ascii="Times New Roman" w:hAnsi="Times New Roman" w:cs="Times New Roman"/>
                <w:sz w:val="20"/>
              </w:rPr>
              <w:t xml:space="preserve"> </w:t>
            </w:r>
            <w:r w:rsidRPr="00B37B1E">
              <w:rPr>
                <w:rFonts w:ascii="Times New Roman" w:hAnsi="Times New Roman" w:cs="Times New Roman"/>
                <w:sz w:val="20"/>
              </w:rPr>
              <w:t>do</w:t>
            </w:r>
            <w:r>
              <w:rPr>
                <w:rFonts w:ascii="Times New Roman" w:hAnsi="Times New Roman" w:cs="Times New Roman"/>
                <w:sz w:val="20"/>
              </w:rPr>
              <w:t> </w:t>
            </w:r>
            <w:r w:rsidRPr="00B37B1E">
              <w:rPr>
                <w:rFonts w:ascii="Times New Roman" w:hAnsi="Times New Roman" w:cs="Times New Roman"/>
                <w:sz w:val="20"/>
              </w:rPr>
              <w:t>odpowiedniego wzrostu stawek</w:t>
            </w:r>
            <w:r>
              <w:rPr>
                <w:rFonts w:ascii="Times New Roman" w:hAnsi="Times New Roman" w:cs="Times New Roman"/>
                <w:sz w:val="20"/>
              </w:rPr>
              <w:t xml:space="preserve"> </w:t>
            </w:r>
            <w:r w:rsidRPr="00B37B1E">
              <w:rPr>
                <w:rFonts w:ascii="Times New Roman" w:hAnsi="Times New Roman" w:cs="Times New Roman"/>
                <w:sz w:val="20"/>
              </w:rPr>
              <w:t>pobieranych przez notariuszy oraz wprowadzenie nowych rodzajów czynności</w:t>
            </w:r>
            <w:r>
              <w:rPr>
                <w:rFonts w:ascii="Times New Roman" w:hAnsi="Times New Roman" w:cs="Times New Roman"/>
                <w:sz w:val="20"/>
              </w:rPr>
              <w:t xml:space="preserve"> </w:t>
            </w:r>
            <w:r w:rsidRPr="00B37B1E">
              <w:rPr>
                <w:rFonts w:ascii="Times New Roman" w:hAnsi="Times New Roman" w:cs="Times New Roman"/>
                <w:sz w:val="20"/>
              </w:rPr>
              <w:t>notarialnych rozszerzających zakres świadczonych przez nich usług. Warunki</w:t>
            </w:r>
            <w:r>
              <w:rPr>
                <w:rFonts w:ascii="Times New Roman" w:hAnsi="Times New Roman" w:cs="Times New Roman"/>
                <w:sz w:val="20"/>
              </w:rPr>
              <w:t xml:space="preserve"> </w:t>
            </w:r>
            <w:r w:rsidRPr="00B37B1E">
              <w:rPr>
                <w:rFonts w:ascii="Times New Roman" w:hAnsi="Times New Roman" w:cs="Times New Roman"/>
                <w:sz w:val="20"/>
              </w:rPr>
              <w:t xml:space="preserve">wykonywania zawodu notariusza należy uznać </w:t>
            </w:r>
            <w:r w:rsidRPr="00B37B1E">
              <w:rPr>
                <w:rFonts w:ascii="Times New Roman" w:hAnsi="Times New Roman" w:cs="Times New Roman"/>
                <w:sz w:val="20"/>
              </w:rPr>
              <w:lastRenderedPageBreak/>
              <w:t>również za wciąż znajdujące się na</w:t>
            </w:r>
            <w:r>
              <w:rPr>
                <w:rFonts w:ascii="Times New Roman" w:hAnsi="Times New Roman" w:cs="Times New Roman"/>
                <w:sz w:val="20"/>
              </w:rPr>
              <w:t xml:space="preserve"> </w:t>
            </w:r>
            <w:r w:rsidRPr="00B37B1E">
              <w:rPr>
                <w:rFonts w:ascii="Times New Roman" w:hAnsi="Times New Roman" w:cs="Times New Roman"/>
                <w:sz w:val="20"/>
              </w:rPr>
              <w:t>atrakcyjnym poziomie, o czym świadczy stały wzrost osób wykonujących ten zawód</w:t>
            </w:r>
            <w:r>
              <w:rPr>
                <w:rFonts w:ascii="Times New Roman" w:hAnsi="Times New Roman" w:cs="Times New Roman"/>
                <w:sz w:val="20"/>
              </w:rPr>
              <w:t>”</w:t>
            </w:r>
            <w:r w:rsidR="00430F3F">
              <w:rPr>
                <w:rFonts w:ascii="Times New Roman" w:hAnsi="Times New Roman" w:cs="Times New Roman"/>
                <w:sz w:val="20"/>
              </w:rPr>
              <w:t>.</w:t>
            </w:r>
          </w:p>
        </w:tc>
      </w:tr>
      <w:tr w:rsidR="0099084C" w:rsidRPr="00FF4480" w14:paraId="13C4FA15" w14:textId="77777777" w:rsidTr="00E9565F">
        <w:trPr>
          <w:jc w:val="center"/>
        </w:trPr>
        <w:tc>
          <w:tcPr>
            <w:tcW w:w="554" w:type="dxa"/>
          </w:tcPr>
          <w:p w14:paraId="0EE7412C"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58BBF739" w14:textId="3E463044" w:rsidR="0099084C" w:rsidRPr="0058074B"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3E081D6E" w14:textId="25B66809"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6</w:t>
            </w:r>
          </w:p>
        </w:tc>
        <w:tc>
          <w:tcPr>
            <w:tcW w:w="5670" w:type="dxa"/>
            <w:vAlign w:val="center"/>
          </w:tcPr>
          <w:p w14:paraId="585DDB34" w14:textId="1328F53A" w:rsidR="0099084C" w:rsidRPr="0058074B" w:rsidRDefault="0099084C" w:rsidP="0099084C">
            <w:pPr>
              <w:spacing w:before="120" w:after="120"/>
              <w:jc w:val="both"/>
              <w:rPr>
                <w:rFonts w:ascii="Times New Roman" w:hAnsi="Times New Roman" w:cs="Times New Roman"/>
                <w:sz w:val="20"/>
              </w:rPr>
            </w:pPr>
            <w:r w:rsidRPr="0058074B">
              <w:rPr>
                <w:rFonts w:ascii="Times New Roman" w:hAnsi="Times New Roman" w:cs="Times New Roman"/>
                <w:sz w:val="20"/>
              </w:rPr>
              <w:t>Przedstawiając wpływ ustawy na sektor finansów publicznych Projektodawca pominął kwestię wydatków związanych z wynagrodzeniem dla notariuszy za wykonywanie nowych obowiązków. Z OSR nie wynika też, iż Projektodawca zakłada nałożenie na notariuszy przymusu darmowej pracy na rzecz Ubezpieczeniowego Funduszu Gwarancyjnego. Tym samym brak w OSR rozstrzygnięcia tej kwestii. A jest to istotne dla finansów publicznych, choćby ze względu na ryzyko dochodzenia przez notariuszy na drodze sądowej wynagrodzenia za ich usługi lub odszkodowań za zaniechanie ustawodawcze na podstawie art. 417- 4172 Kodeksu cywilnego.</w:t>
            </w:r>
          </w:p>
        </w:tc>
        <w:tc>
          <w:tcPr>
            <w:tcW w:w="4160" w:type="dxa"/>
          </w:tcPr>
          <w:p w14:paraId="5DE730AC" w14:textId="77777777" w:rsidR="0099084C" w:rsidRPr="00B908F5" w:rsidRDefault="00B908F5" w:rsidP="0099084C">
            <w:pPr>
              <w:spacing w:before="120" w:after="120"/>
              <w:jc w:val="both"/>
              <w:rPr>
                <w:rFonts w:ascii="Times New Roman" w:hAnsi="Times New Roman" w:cs="Times New Roman"/>
                <w:sz w:val="20"/>
                <w:u w:val="single"/>
              </w:rPr>
            </w:pPr>
            <w:r w:rsidRPr="00B908F5">
              <w:rPr>
                <w:rFonts w:ascii="Times New Roman" w:hAnsi="Times New Roman" w:cs="Times New Roman"/>
                <w:sz w:val="20"/>
                <w:u w:val="single"/>
              </w:rPr>
              <w:t>Komentarz do uwagi</w:t>
            </w:r>
          </w:p>
          <w:p w14:paraId="71BE394E" w14:textId="53A33933" w:rsidR="00B908F5" w:rsidRDefault="00E41B91" w:rsidP="0099084C">
            <w:pPr>
              <w:spacing w:before="120" w:after="120"/>
              <w:jc w:val="both"/>
              <w:rPr>
                <w:rFonts w:ascii="Times New Roman" w:hAnsi="Times New Roman" w:cs="Times New Roman"/>
                <w:sz w:val="20"/>
              </w:rPr>
            </w:pPr>
            <w:r>
              <w:rPr>
                <w:rFonts w:ascii="Times New Roman" w:hAnsi="Times New Roman" w:cs="Times New Roman"/>
                <w:sz w:val="20"/>
              </w:rPr>
              <w:t xml:space="preserve">Projekt ustawy nie zawiera propozycji nałożenia na notariuszy obowiązku dokonania nowej czynności, ale jedynie propozycję rozszerzenia zakresu danych sprawozdawanych w ramach już obecnie wykonywanej czynności. Rozszerzenie to obejmuje jedynie 5 kategorii danych, </w:t>
            </w:r>
            <w:r w:rsidR="00602E06" w:rsidRPr="00602E06">
              <w:rPr>
                <w:rFonts w:ascii="Times New Roman" w:hAnsi="Times New Roman" w:cs="Times New Roman"/>
                <w:sz w:val="20"/>
              </w:rPr>
              <w:t xml:space="preserve">łatwych do identyfikacji w ramach sporządzanego aktu notarialnego, </w:t>
            </w:r>
            <w:r>
              <w:rPr>
                <w:rFonts w:ascii="Times New Roman" w:hAnsi="Times New Roman" w:cs="Times New Roman"/>
                <w:sz w:val="20"/>
              </w:rPr>
              <w:t>co stanowi relatywnie niewielki procent informacji przekazywanych przez notariuszy KAS.</w:t>
            </w:r>
            <w:r w:rsidR="00B16428">
              <w:rPr>
                <w:rFonts w:ascii="Times New Roman" w:hAnsi="Times New Roman" w:cs="Times New Roman"/>
                <w:sz w:val="20"/>
              </w:rPr>
              <w:t xml:space="preserve"> </w:t>
            </w:r>
            <w:r w:rsidR="00B16428" w:rsidRPr="00B16428">
              <w:rPr>
                <w:rFonts w:ascii="Times New Roman" w:hAnsi="Times New Roman" w:cs="Times New Roman"/>
                <w:sz w:val="20"/>
              </w:rPr>
              <w:t>Dodatkowo, nie dla każdej transakcji wszystkie te dane będą wprowadzane (odmienne informacje dotyczą domów jednorodzinnych i lokali mieszkalnych).</w:t>
            </w:r>
          </w:p>
          <w:p w14:paraId="2AB2AB7B" w14:textId="77777777" w:rsidR="00B940A4" w:rsidRDefault="00B940A4" w:rsidP="00B940A4">
            <w:pPr>
              <w:spacing w:before="120" w:after="120"/>
              <w:jc w:val="both"/>
              <w:rPr>
                <w:rFonts w:ascii="Times New Roman" w:hAnsi="Times New Roman" w:cs="Times New Roman"/>
                <w:sz w:val="20"/>
              </w:rPr>
            </w:pPr>
            <w:r>
              <w:rPr>
                <w:rFonts w:ascii="Times New Roman" w:hAnsi="Times New Roman" w:cs="Times New Roman"/>
                <w:sz w:val="20"/>
              </w:rPr>
              <w:t xml:space="preserve">Podobne jak </w:t>
            </w:r>
            <w:proofErr w:type="spellStart"/>
            <w:r>
              <w:rPr>
                <w:rFonts w:ascii="Times New Roman" w:hAnsi="Times New Roman" w:cs="Times New Roman"/>
                <w:sz w:val="20"/>
              </w:rPr>
              <w:t>MRiT</w:t>
            </w:r>
            <w:proofErr w:type="spellEnd"/>
            <w:r>
              <w:rPr>
                <w:rFonts w:ascii="Times New Roman" w:hAnsi="Times New Roman" w:cs="Times New Roman"/>
                <w:sz w:val="20"/>
              </w:rPr>
              <w:t xml:space="preserve"> stanowisko do przedmiotowej uwagi w toku analizy zastrzeżeń notariuszy wyraził Minister Sprawiedliwości. W </w:t>
            </w:r>
            <w:r w:rsidRPr="00B37B1E">
              <w:rPr>
                <w:rFonts w:ascii="Times New Roman" w:hAnsi="Times New Roman" w:cs="Times New Roman"/>
                <w:sz w:val="20"/>
              </w:rPr>
              <w:t xml:space="preserve">opinii przekazanej przez </w:t>
            </w:r>
            <w:r>
              <w:rPr>
                <w:rFonts w:ascii="Times New Roman" w:hAnsi="Times New Roman" w:cs="Times New Roman"/>
                <w:sz w:val="20"/>
              </w:rPr>
              <w:t>MS 29 października 2024 r.</w:t>
            </w:r>
            <w:r w:rsidRPr="00B37B1E">
              <w:rPr>
                <w:rFonts w:ascii="Times New Roman" w:hAnsi="Times New Roman" w:cs="Times New Roman"/>
                <w:sz w:val="20"/>
              </w:rPr>
              <w:t xml:space="preserve"> </w:t>
            </w:r>
            <w:r>
              <w:rPr>
                <w:rFonts w:ascii="Times New Roman" w:hAnsi="Times New Roman" w:cs="Times New Roman"/>
                <w:sz w:val="20"/>
              </w:rPr>
              <w:t>wskazano</w:t>
            </w:r>
            <w:r w:rsidRPr="00B37B1E">
              <w:rPr>
                <w:rFonts w:ascii="Times New Roman" w:hAnsi="Times New Roman" w:cs="Times New Roman"/>
                <w:sz w:val="20"/>
              </w:rPr>
              <w:t>, że „projektowane przepisy nie wprowadzają nowych rodzajów czynności notarialnych,</w:t>
            </w:r>
            <w:r>
              <w:rPr>
                <w:rFonts w:ascii="Times New Roman" w:hAnsi="Times New Roman" w:cs="Times New Roman"/>
                <w:sz w:val="20"/>
              </w:rPr>
              <w:t xml:space="preserve"> </w:t>
            </w:r>
            <w:r w:rsidRPr="00B37B1E">
              <w:rPr>
                <w:rFonts w:ascii="Times New Roman" w:hAnsi="Times New Roman" w:cs="Times New Roman"/>
                <w:sz w:val="20"/>
              </w:rPr>
              <w:t>które czyniłyby niezbędnym dostosowanie do nich przepisów rozporządzenia</w:t>
            </w:r>
            <w:r>
              <w:rPr>
                <w:rFonts w:ascii="Times New Roman" w:hAnsi="Times New Roman" w:cs="Times New Roman"/>
                <w:sz w:val="20"/>
              </w:rPr>
              <w:t xml:space="preserve"> </w:t>
            </w:r>
            <w:r w:rsidRPr="00B37B1E">
              <w:rPr>
                <w:rFonts w:ascii="Times New Roman" w:hAnsi="Times New Roman" w:cs="Times New Roman"/>
                <w:i/>
                <w:iCs/>
                <w:sz w:val="20"/>
              </w:rPr>
              <w:t>[tj. rozporządzenia Ministra Sprawiedliwości z</w:t>
            </w:r>
            <w:r>
              <w:rPr>
                <w:rFonts w:ascii="Times New Roman" w:hAnsi="Times New Roman" w:cs="Times New Roman"/>
                <w:i/>
                <w:iCs/>
                <w:sz w:val="20"/>
              </w:rPr>
              <w:t> </w:t>
            </w:r>
            <w:r w:rsidRPr="00B37B1E">
              <w:rPr>
                <w:rFonts w:ascii="Times New Roman" w:hAnsi="Times New Roman" w:cs="Times New Roman"/>
                <w:i/>
                <w:iCs/>
                <w:sz w:val="20"/>
              </w:rPr>
              <w:t xml:space="preserve">dnia 28 czerwca 2004 r. w sprawie maksymalnych stawek taksy notarialnej – przyp. </w:t>
            </w:r>
            <w:proofErr w:type="spellStart"/>
            <w:r w:rsidRPr="00B37B1E">
              <w:rPr>
                <w:rFonts w:ascii="Times New Roman" w:hAnsi="Times New Roman" w:cs="Times New Roman"/>
                <w:i/>
                <w:iCs/>
                <w:sz w:val="20"/>
              </w:rPr>
              <w:t>MRiT</w:t>
            </w:r>
            <w:proofErr w:type="spellEnd"/>
            <w:r w:rsidRPr="00B37B1E">
              <w:rPr>
                <w:rFonts w:ascii="Times New Roman" w:hAnsi="Times New Roman" w:cs="Times New Roman"/>
                <w:i/>
                <w:iCs/>
                <w:sz w:val="20"/>
              </w:rPr>
              <w:t>]</w:t>
            </w:r>
            <w:r>
              <w:rPr>
                <w:rFonts w:ascii="Times New Roman" w:hAnsi="Times New Roman" w:cs="Times New Roman"/>
                <w:sz w:val="20"/>
              </w:rPr>
              <w:t xml:space="preserve"> </w:t>
            </w:r>
            <w:r w:rsidRPr="00B37B1E">
              <w:rPr>
                <w:rFonts w:ascii="Times New Roman" w:hAnsi="Times New Roman" w:cs="Times New Roman"/>
                <w:sz w:val="20"/>
              </w:rPr>
              <w:t>jeszcze</w:t>
            </w:r>
            <w:r>
              <w:rPr>
                <w:rFonts w:ascii="Times New Roman" w:hAnsi="Times New Roman" w:cs="Times New Roman"/>
                <w:sz w:val="20"/>
              </w:rPr>
              <w:t xml:space="preserve"> </w:t>
            </w:r>
            <w:r w:rsidRPr="00B37B1E">
              <w:rPr>
                <w:rFonts w:ascii="Times New Roman" w:hAnsi="Times New Roman" w:cs="Times New Roman"/>
                <w:sz w:val="20"/>
              </w:rPr>
              <w:t>przed ich wejściem w życie. Opiniujący nie przedstawili również żadnych konkretnych</w:t>
            </w:r>
            <w:r>
              <w:rPr>
                <w:rFonts w:ascii="Times New Roman" w:hAnsi="Times New Roman" w:cs="Times New Roman"/>
                <w:sz w:val="20"/>
              </w:rPr>
              <w:t xml:space="preserve"> </w:t>
            </w:r>
            <w:r w:rsidRPr="00B37B1E">
              <w:rPr>
                <w:rFonts w:ascii="Times New Roman" w:hAnsi="Times New Roman" w:cs="Times New Roman"/>
                <w:sz w:val="20"/>
              </w:rPr>
              <w:t>propozycji odnośnie do wartości czy też metodologii tej waloryzacji.</w:t>
            </w:r>
            <w:r>
              <w:rPr>
                <w:rFonts w:ascii="Times New Roman" w:hAnsi="Times New Roman" w:cs="Times New Roman"/>
                <w:sz w:val="20"/>
              </w:rPr>
              <w:t xml:space="preserve"> </w:t>
            </w:r>
          </w:p>
          <w:p w14:paraId="23AF365B" w14:textId="7865C767" w:rsidR="00B908F5" w:rsidRPr="005D7262" w:rsidRDefault="00B940A4" w:rsidP="0099084C">
            <w:pPr>
              <w:spacing w:before="120" w:after="120"/>
              <w:jc w:val="both"/>
              <w:rPr>
                <w:rFonts w:ascii="Times New Roman" w:hAnsi="Times New Roman" w:cs="Times New Roman"/>
                <w:sz w:val="20"/>
              </w:rPr>
            </w:pPr>
            <w:r w:rsidRPr="00B37B1E">
              <w:rPr>
                <w:rFonts w:ascii="Times New Roman" w:hAnsi="Times New Roman" w:cs="Times New Roman"/>
                <w:sz w:val="20"/>
              </w:rPr>
              <w:t>Jednocześnie zarówno zagadnienie wzrostu obciążeń notariuszy o</w:t>
            </w:r>
            <w:r>
              <w:rPr>
                <w:rFonts w:ascii="Times New Roman" w:hAnsi="Times New Roman" w:cs="Times New Roman"/>
                <w:sz w:val="20"/>
              </w:rPr>
              <w:t xml:space="preserve"> </w:t>
            </w:r>
            <w:r w:rsidRPr="00B37B1E">
              <w:rPr>
                <w:rFonts w:ascii="Times New Roman" w:hAnsi="Times New Roman" w:cs="Times New Roman"/>
                <w:sz w:val="20"/>
              </w:rPr>
              <w:t>charakterze</w:t>
            </w:r>
            <w:r>
              <w:rPr>
                <w:rFonts w:ascii="Times New Roman" w:hAnsi="Times New Roman" w:cs="Times New Roman"/>
                <w:sz w:val="20"/>
              </w:rPr>
              <w:t xml:space="preserve"> </w:t>
            </w:r>
            <w:r w:rsidRPr="00B37B1E">
              <w:rPr>
                <w:rFonts w:ascii="Times New Roman" w:hAnsi="Times New Roman" w:cs="Times New Roman"/>
                <w:sz w:val="20"/>
              </w:rPr>
              <w:t>„sprawozdawczo-notyfikacyjnym”, jak też zgłaszanych przez organy samorządu</w:t>
            </w:r>
            <w:r>
              <w:rPr>
                <w:rFonts w:ascii="Times New Roman" w:hAnsi="Times New Roman" w:cs="Times New Roman"/>
                <w:sz w:val="20"/>
              </w:rPr>
              <w:t xml:space="preserve"> </w:t>
            </w:r>
            <w:r w:rsidRPr="00B37B1E">
              <w:rPr>
                <w:rFonts w:ascii="Times New Roman" w:hAnsi="Times New Roman" w:cs="Times New Roman"/>
                <w:sz w:val="20"/>
              </w:rPr>
              <w:lastRenderedPageBreak/>
              <w:t>notarialnego postulatów konieczności aktualizacji maksymalnych stawek taksy notarialnej</w:t>
            </w:r>
            <w:r>
              <w:rPr>
                <w:rFonts w:ascii="Times New Roman" w:hAnsi="Times New Roman" w:cs="Times New Roman"/>
                <w:sz w:val="20"/>
              </w:rPr>
              <w:t xml:space="preserve"> </w:t>
            </w:r>
            <w:r w:rsidRPr="00B37B1E">
              <w:rPr>
                <w:rFonts w:ascii="Times New Roman" w:hAnsi="Times New Roman" w:cs="Times New Roman"/>
                <w:sz w:val="20"/>
              </w:rPr>
              <w:t>jest znana resortowi sprawiedliwości. Podkreślić należy, że wszczęcie prac w tym zakresie</w:t>
            </w:r>
            <w:r>
              <w:rPr>
                <w:rFonts w:ascii="Times New Roman" w:hAnsi="Times New Roman" w:cs="Times New Roman"/>
                <w:sz w:val="20"/>
              </w:rPr>
              <w:t xml:space="preserve"> </w:t>
            </w:r>
            <w:r w:rsidRPr="00B37B1E">
              <w:rPr>
                <w:rFonts w:ascii="Times New Roman" w:hAnsi="Times New Roman" w:cs="Times New Roman"/>
                <w:sz w:val="20"/>
              </w:rPr>
              <w:t>wymaga kierunkowej decyzji, w</w:t>
            </w:r>
            <w:r>
              <w:rPr>
                <w:rFonts w:ascii="Times New Roman" w:hAnsi="Times New Roman" w:cs="Times New Roman"/>
                <w:sz w:val="20"/>
              </w:rPr>
              <w:t> </w:t>
            </w:r>
            <w:r w:rsidRPr="00B37B1E">
              <w:rPr>
                <w:rFonts w:ascii="Times New Roman" w:hAnsi="Times New Roman" w:cs="Times New Roman"/>
                <w:sz w:val="20"/>
              </w:rPr>
              <w:t>szczególności w świetle okoliczności, że podobne</w:t>
            </w:r>
            <w:r>
              <w:rPr>
                <w:rFonts w:ascii="Times New Roman" w:hAnsi="Times New Roman" w:cs="Times New Roman"/>
                <w:sz w:val="20"/>
              </w:rPr>
              <w:t xml:space="preserve"> </w:t>
            </w:r>
            <w:r w:rsidRPr="00B37B1E">
              <w:rPr>
                <w:rFonts w:ascii="Times New Roman" w:hAnsi="Times New Roman" w:cs="Times New Roman"/>
                <w:sz w:val="20"/>
              </w:rPr>
              <w:t>postulaty można sformułować również odnośnie do stawek urzędowych wynagrodzeń</w:t>
            </w:r>
            <w:r>
              <w:rPr>
                <w:rFonts w:ascii="Times New Roman" w:hAnsi="Times New Roman" w:cs="Times New Roman"/>
                <w:sz w:val="20"/>
              </w:rPr>
              <w:t xml:space="preserve"> </w:t>
            </w:r>
            <w:r w:rsidRPr="00B37B1E">
              <w:rPr>
                <w:rFonts w:ascii="Times New Roman" w:hAnsi="Times New Roman" w:cs="Times New Roman"/>
                <w:sz w:val="20"/>
              </w:rPr>
              <w:t>obowiązujących przedstawicieli innych zawodów prawniczych, jak też aktualnych opłat</w:t>
            </w:r>
            <w:r>
              <w:rPr>
                <w:rFonts w:ascii="Times New Roman" w:hAnsi="Times New Roman" w:cs="Times New Roman"/>
                <w:sz w:val="20"/>
              </w:rPr>
              <w:t xml:space="preserve"> </w:t>
            </w:r>
            <w:r w:rsidRPr="00B37B1E">
              <w:rPr>
                <w:rFonts w:ascii="Times New Roman" w:hAnsi="Times New Roman" w:cs="Times New Roman"/>
                <w:sz w:val="20"/>
              </w:rPr>
              <w:t>sądowych. W tym kontekście nie wydaje się zasadne uzależnianie dopuszczalności</w:t>
            </w:r>
            <w:r>
              <w:rPr>
                <w:rFonts w:ascii="Times New Roman" w:hAnsi="Times New Roman" w:cs="Times New Roman"/>
                <w:sz w:val="20"/>
              </w:rPr>
              <w:t xml:space="preserve"> </w:t>
            </w:r>
            <w:r w:rsidRPr="00B37B1E">
              <w:rPr>
                <w:rFonts w:ascii="Times New Roman" w:hAnsi="Times New Roman" w:cs="Times New Roman"/>
                <w:sz w:val="20"/>
              </w:rPr>
              <w:t>wprowadzenia projektowanych zmian od waloryzacji taksy notarialnej. W tej sytuacji</w:t>
            </w:r>
            <w:r>
              <w:rPr>
                <w:rFonts w:ascii="Times New Roman" w:hAnsi="Times New Roman" w:cs="Times New Roman"/>
                <w:sz w:val="20"/>
              </w:rPr>
              <w:t xml:space="preserve"> </w:t>
            </w:r>
            <w:r w:rsidRPr="00B37B1E">
              <w:rPr>
                <w:rFonts w:ascii="Times New Roman" w:hAnsi="Times New Roman" w:cs="Times New Roman"/>
                <w:sz w:val="20"/>
              </w:rPr>
              <w:t>należy tylko zasygnalizować, że przedmiotowe kwestie mają charakter wielowymiarowy</w:t>
            </w:r>
            <w:r>
              <w:rPr>
                <w:rFonts w:ascii="Times New Roman" w:hAnsi="Times New Roman" w:cs="Times New Roman"/>
                <w:sz w:val="20"/>
              </w:rPr>
              <w:t xml:space="preserve"> </w:t>
            </w:r>
            <w:r w:rsidRPr="00B37B1E">
              <w:rPr>
                <w:rFonts w:ascii="Times New Roman" w:hAnsi="Times New Roman" w:cs="Times New Roman"/>
                <w:sz w:val="20"/>
              </w:rPr>
              <w:t>i wymagają rozwiązań systemowych. Wzrostowi obciążeń „sprawozdawczo</w:t>
            </w:r>
            <w:r>
              <w:rPr>
                <w:rFonts w:ascii="Times New Roman" w:hAnsi="Times New Roman" w:cs="Times New Roman"/>
                <w:sz w:val="20"/>
              </w:rPr>
              <w:t>-</w:t>
            </w:r>
            <w:r w:rsidRPr="00B37B1E">
              <w:rPr>
                <w:rFonts w:ascii="Times New Roman" w:hAnsi="Times New Roman" w:cs="Times New Roman"/>
                <w:sz w:val="20"/>
              </w:rPr>
              <w:t>notyfikacyjnych” notariuszy towarzyszy bowiem postępująca informatyzacja organów</w:t>
            </w:r>
            <w:r>
              <w:rPr>
                <w:rFonts w:ascii="Times New Roman" w:hAnsi="Times New Roman" w:cs="Times New Roman"/>
                <w:sz w:val="20"/>
              </w:rPr>
              <w:t xml:space="preserve"> </w:t>
            </w:r>
            <w:r w:rsidRPr="00B37B1E">
              <w:rPr>
                <w:rFonts w:ascii="Times New Roman" w:hAnsi="Times New Roman" w:cs="Times New Roman"/>
                <w:sz w:val="20"/>
              </w:rPr>
              <w:t>administracji publicznej oraz sposobu prowadzenia kancelarii notarialnych, która winna</w:t>
            </w:r>
            <w:r>
              <w:rPr>
                <w:rFonts w:ascii="Times New Roman" w:hAnsi="Times New Roman" w:cs="Times New Roman"/>
                <w:sz w:val="20"/>
              </w:rPr>
              <w:t xml:space="preserve"> </w:t>
            </w:r>
            <w:r w:rsidRPr="00B37B1E">
              <w:rPr>
                <w:rFonts w:ascii="Times New Roman" w:hAnsi="Times New Roman" w:cs="Times New Roman"/>
                <w:sz w:val="20"/>
              </w:rPr>
              <w:t>prowadzić do zwiększenia ergonomii ich wykonywania. Podobnie realnemu spadkowi</w:t>
            </w:r>
            <w:r>
              <w:rPr>
                <w:rFonts w:ascii="Times New Roman" w:hAnsi="Times New Roman" w:cs="Times New Roman"/>
                <w:sz w:val="20"/>
              </w:rPr>
              <w:t xml:space="preserve"> </w:t>
            </w:r>
            <w:r w:rsidRPr="00B37B1E">
              <w:rPr>
                <w:rFonts w:ascii="Times New Roman" w:hAnsi="Times New Roman" w:cs="Times New Roman"/>
                <w:sz w:val="20"/>
              </w:rPr>
              <w:t>wartości stawek taksy notarialnej towarzyszy jednoczesny wzrost cen transakcyjnych</w:t>
            </w:r>
            <w:r>
              <w:rPr>
                <w:rFonts w:ascii="Times New Roman" w:hAnsi="Times New Roman" w:cs="Times New Roman"/>
                <w:sz w:val="20"/>
              </w:rPr>
              <w:t xml:space="preserve"> </w:t>
            </w:r>
            <w:r w:rsidRPr="00B37B1E">
              <w:rPr>
                <w:rFonts w:ascii="Times New Roman" w:hAnsi="Times New Roman" w:cs="Times New Roman"/>
                <w:sz w:val="20"/>
              </w:rPr>
              <w:t>w obrocie nieruchomościami, co prowadzi</w:t>
            </w:r>
            <w:r>
              <w:rPr>
                <w:rFonts w:ascii="Times New Roman" w:hAnsi="Times New Roman" w:cs="Times New Roman"/>
                <w:sz w:val="20"/>
              </w:rPr>
              <w:t xml:space="preserve"> </w:t>
            </w:r>
            <w:r w:rsidRPr="00B37B1E">
              <w:rPr>
                <w:rFonts w:ascii="Times New Roman" w:hAnsi="Times New Roman" w:cs="Times New Roman"/>
                <w:sz w:val="20"/>
              </w:rPr>
              <w:t>do</w:t>
            </w:r>
            <w:r>
              <w:rPr>
                <w:rFonts w:ascii="Times New Roman" w:hAnsi="Times New Roman" w:cs="Times New Roman"/>
                <w:sz w:val="20"/>
              </w:rPr>
              <w:t> </w:t>
            </w:r>
            <w:r w:rsidRPr="00B37B1E">
              <w:rPr>
                <w:rFonts w:ascii="Times New Roman" w:hAnsi="Times New Roman" w:cs="Times New Roman"/>
                <w:sz w:val="20"/>
              </w:rPr>
              <w:t>odpowiedniego wzrostu stawek</w:t>
            </w:r>
            <w:r>
              <w:rPr>
                <w:rFonts w:ascii="Times New Roman" w:hAnsi="Times New Roman" w:cs="Times New Roman"/>
                <w:sz w:val="20"/>
              </w:rPr>
              <w:t xml:space="preserve"> </w:t>
            </w:r>
            <w:r w:rsidRPr="00B37B1E">
              <w:rPr>
                <w:rFonts w:ascii="Times New Roman" w:hAnsi="Times New Roman" w:cs="Times New Roman"/>
                <w:sz w:val="20"/>
              </w:rPr>
              <w:t>pobieranych przez notariuszy oraz wprowadzenie nowych rodzajów czynności</w:t>
            </w:r>
            <w:r>
              <w:rPr>
                <w:rFonts w:ascii="Times New Roman" w:hAnsi="Times New Roman" w:cs="Times New Roman"/>
                <w:sz w:val="20"/>
              </w:rPr>
              <w:t xml:space="preserve"> </w:t>
            </w:r>
            <w:r w:rsidRPr="00B37B1E">
              <w:rPr>
                <w:rFonts w:ascii="Times New Roman" w:hAnsi="Times New Roman" w:cs="Times New Roman"/>
                <w:sz w:val="20"/>
              </w:rPr>
              <w:t>notarialnych rozszerzających zakres świadczonych przez nich usług. Warunki</w:t>
            </w:r>
            <w:r>
              <w:rPr>
                <w:rFonts w:ascii="Times New Roman" w:hAnsi="Times New Roman" w:cs="Times New Roman"/>
                <w:sz w:val="20"/>
              </w:rPr>
              <w:t xml:space="preserve"> </w:t>
            </w:r>
            <w:r w:rsidRPr="00B37B1E">
              <w:rPr>
                <w:rFonts w:ascii="Times New Roman" w:hAnsi="Times New Roman" w:cs="Times New Roman"/>
                <w:sz w:val="20"/>
              </w:rPr>
              <w:t>wykonywania zawodu notariusza należy uznać również za wciąż znajdujące się na</w:t>
            </w:r>
            <w:r>
              <w:rPr>
                <w:rFonts w:ascii="Times New Roman" w:hAnsi="Times New Roman" w:cs="Times New Roman"/>
                <w:sz w:val="20"/>
              </w:rPr>
              <w:t xml:space="preserve"> </w:t>
            </w:r>
            <w:r w:rsidRPr="00B37B1E">
              <w:rPr>
                <w:rFonts w:ascii="Times New Roman" w:hAnsi="Times New Roman" w:cs="Times New Roman"/>
                <w:sz w:val="20"/>
              </w:rPr>
              <w:t>atrakcyjnym poziomie, o czym świadczy stały wzrost osób wykonujących ten zawód</w:t>
            </w:r>
            <w:r>
              <w:rPr>
                <w:rFonts w:ascii="Times New Roman" w:hAnsi="Times New Roman" w:cs="Times New Roman"/>
                <w:sz w:val="20"/>
              </w:rPr>
              <w:t>”</w:t>
            </w:r>
            <w:r w:rsidR="00E0773E">
              <w:rPr>
                <w:rFonts w:ascii="Times New Roman" w:hAnsi="Times New Roman" w:cs="Times New Roman"/>
                <w:sz w:val="20"/>
              </w:rPr>
              <w:t>.</w:t>
            </w:r>
          </w:p>
        </w:tc>
      </w:tr>
      <w:tr w:rsidR="0099084C" w:rsidRPr="00FF4480" w14:paraId="142EE6CB" w14:textId="77777777" w:rsidTr="00E9565F">
        <w:trPr>
          <w:jc w:val="center"/>
        </w:trPr>
        <w:tc>
          <w:tcPr>
            <w:tcW w:w="554" w:type="dxa"/>
          </w:tcPr>
          <w:p w14:paraId="20F12242"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5DBC08AE" w14:textId="1D298FA6" w:rsidR="0099084C" w:rsidRDefault="0099084C" w:rsidP="0099084C">
            <w:pPr>
              <w:spacing w:before="120" w:after="120"/>
              <w:rPr>
                <w:rFonts w:ascii="Times New Roman" w:hAnsi="Times New Roman" w:cs="Times New Roman"/>
                <w:sz w:val="20"/>
              </w:rPr>
            </w:pPr>
            <w:r w:rsidRPr="00474942">
              <w:rPr>
                <w:rFonts w:ascii="Times New Roman" w:hAnsi="Times New Roman" w:cs="Times New Roman"/>
                <w:sz w:val="20"/>
              </w:rPr>
              <w:t>Polski Związek Pracodawców Budownictwa</w:t>
            </w:r>
          </w:p>
        </w:tc>
        <w:tc>
          <w:tcPr>
            <w:tcW w:w="1905" w:type="dxa"/>
            <w:vAlign w:val="center"/>
          </w:tcPr>
          <w:p w14:paraId="11A5D8B9" w14:textId="380B0D4D"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6</w:t>
            </w:r>
          </w:p>
        </w:tc>
        <w:tc>
          <w:tcPr>
            <w:tcW w:w="5670" w:type="dxa"/>
            <w:vAlign w:val="center"/>
          </w:tcPr>
          <w:p w14:paraId="42330827" w14:textId="7A78F1D4" w:rsidR="0099084C" w:rsidRPr="00474942" w:rsidRDefault="0099084C" w:rsidP="0099084C">
            <w:pPr>
              <w:spacing w:before="120" w:after="120"/>
              <w:jc w:val="both"/>
              <w:rPr>
                <w:rFonts w:ascii="Times New Roman" w:hAnsi="Times New Roman" w:cs="Times New Roman"/>
                <w:sz w:val="20"/>
              </w:rPr>
            </w:pPr>
            <w:r w:rsidRPr="00474942">
              <w:rPr>
                <w:rFonts w:ascii="Times New Roman" w:hAnsi="Times New Roman" w:cs="Times New Roman"/>
                <w:sz w:val="20"/>
              </w:rPr>
              <w:t xml:space="preserve">Zgodnie z informacją zawartą w OSR, pokrycie kosztów utworzenia Portalu DOM oraz kosztów jego funkcjonowania w dwóch pierwszych latach nastąpi ze środków UE przeznaczonych na cyfryzację. Według szacunków koszty uruchomienia Portalu DOM </w:t>
            </w:r>
            <w:r w:rsidRPr="00474942">
              <w:rPr>
                <w:rFonts w:ascii="Times New Roman" w:hAnsi="Times New Roman" w:cs="Times New Roman"/>
                <w:sz w:val="20"/>
              </w:rPr>
              <w:lastRenderedPageBreak/>
              <w:t>w dwóch pierwszych latach po wejściu w życie przepisów wyniosą ok. 17,6 mln zł. Od trzeciego roku koszty związane z utrzymaniem i</w:t>
            </w:r>
            <w:r>
              <w:rPr>
                <w:rFonts w:ascii="Times New Roman" w:hAnsi="Times New Roman" w:cs="Times New Roman"/>
                <w:sz w:val="20"/>
              </w:rPr>
              <w:t> </w:t>
            </w:r>
            <w:r w:rsidRPr="00474942">
              <w:rPr>
                <w:rFonts w:ascii="Times New Roman" w:hAnsi="Times New Roman" w:cs="Times New Roman"/>
                <w:sz w:val="20"/>
              </w:rPr>
              <w:t>obsługą Portalu DOM, będą ponoszone ze środków DFG i będą się mieściły w granicach 3,1–3,8 mln zł rocznie. Według stanu na koniec II kwartału 2024 r. Deweloperski Fundusz Gwarancyjny dysponował kwotą 65,4 mln zł.</w:t>
            </w:r>
          </w:p>
          <w:p w14:paraId="2277FF0F" w14:textId="1A7D2A17" w:rsidR="0099084C" w:rsidRDefault="0099084C" w:rsidP="0099084C">
            <w:pPr>
              <w:spacing w:before="120" w:after="120"/>
              <w:jc w:val="both"/>
              <w:rPr>
                <w:rFonts w:ascii="Times New Roman" w:hAnsi="Times New Roman" w:cs="Times New Roman"/>
                <w:sz w:val="20"/>
              </w:rPr>
            </w:pPr>
            <w:r w:rsidRPr="00474942">
              <w:rPr>
                <w:rFonts w:ascii="Times New Roman" w:hAnsi="Times New Roman" w:cs="Times New Roman"/>
                <w:sz w:val="20"/>
              </w:rPr>
              <w:t>Brak precyzyjnych danych, jak obliczono koszty funkcjonowania sytemu i jakie jest ryzyko ich wzrostu w kolejnych latach, a co za tym idzie wzrostu składek na DFG. Jednocześnie przyjęto założenie, że możliwe jest swobodne dysponowanie kwotą zdeponowaną na DFG z uwagi na fakt, że zakładane koszty funkcjonowania Portalu DOM będą stanowiły jedynie ok. 5 % tej kwoty.</w:t>
            </w:r>
          </w:p>
        </w:tc>
        <w:tc>
          <w:tcPr>
            <w:tcW w:w="4160" w:type="dxa"/>
          </w:tcPr>
          <w:p w14:paraId="4724DB0F" w14:textId="77777777" w:rsidR="00E41B91" w:rsidRPr="00B908F5" w:rsidRDefault="00E41B91" w:rsidP="00E41B91">
            <w:pPr>
              <w:spacing w:before="120" w:after="120"/>
              <w:jc w:val="both"/>
              <w:rPr>
                <w:rFonts w:ascii="Times New Roman" w:hAnsi="Times New Roman" w:cs="Times New Roman"/>
                <w:sz w:val="20"/>
                <w:u w:val="single"/>
              </w:rPr>
            </w:pPr>
            <w:r w:rsidRPr="00B908F5">
              <w:rPr>
                <w:rFonts w:ascii="Times New Roman" w:hAnsi="Times New Roman" w:cs="Times New Roman"/>
                <w:sz w:val="20"/>
                <w:u w:val="single"/>
              </w:rPr>
              <w:lastRenderedPageBreak/>
              <w:t>Komentarz do uwagi</w:t>
            </w:r>
          </w:p>
          <w:p w14:paraId="1FD5B1E8" w14:textId="114B8409" w:rsidR="00E41B91" w:rsidRDefault="00E41B91" w:rsidP="0099084C">
            <w:pPr>
              <w:spacing w:before="120" w:after="120"/>
              <w:jc w:val="both"/>
              <w:rPr>
                <w:rFonts w:ascii="Times New Roman" w:hAnsi="Times New Roman" w:cs="Times New Roman"/>
                <w:sz w:val="20"/>
              </w:rPr>
            </w:pPr>
            <w:r>
              <w:rPr>
                <w:rFonts w:ascii="Times New Roman" w:hAnsi="Times New Roman" w:cs="Times New Roman"/>
                <w:sz w:val="20"/>
              </w:rPr>
              <w:lastRenderedPageBreak/>
              <w:t xml:space="preserve">W OSR zostało zawarte jedynie podsumowanie szczegółowej kalkulacji, jaką dysponuje </w:t>
            </w:r>
            <w:proofErr w:type="spellStart"/>
            <w:r>
              <w:rPr>
                <w:rFonts w:ascii="Times New Roman" w:hAnsi="Times New Roman" w:cs="Times New Roman"/>
                <w:sz w:val="20"/>
              </w:rPr>
              <w:t>MRiT</w:t>
            </w:r>
            <w:proofErr w:type="spellEnd"/>
            <w:r>
              <w:rPr>
                <w:rFonts w:ascii="Times New Roman" w:hAnsi="Times New Roman" w:cs="Times New Roman"/>
                <w:sz w:val="20"/>
              </w:rPr>
              <w:t>. Jest to wystarczające dla celów OSR.</w:t>
            </w:r>
          </w:p>
          <w:p w14:paraId="003CCCF9" w14:textId="2EDD1CC8" w:rsidR="0099084C" w:rsidRDefault="00FF6EEC" w:rsidP="0099084C">
            <w:pPr>
              <w:spacing w:before="120" w:after="120"/>
              <w:jc w:val="both"/>
              <w:rPr>
                <w:rFonts w:ascii="Times New Roman" w:hAnsi="Times New Roman" w:cs="Times New Roman"/>
                <w:sz w:val="20"/>
              </w:rPr>
            </w:pPr>
            <w:r>
              <w:rPr>
                <w:rFonts w:ascii="Times New Roman" w:hAnsi="Times New Roman" w:cs="Times New Roman"/>
                <w:sz w:val="20"/>
              </w:rPr>
              <w:t>Niezależnie od powyższego dokonano aktualizacji tej kalkulacji zgodnie z obecnie posiadanymi danymi.</w:t>
            </w:r>
            <w:r w:rsidR="008D5E73">
              <w:rPr>
                <w:rFonts w:ascii="Times New Roman" w:hAnsi="Times New Roman" w:cs="Times New Roman"/>
                <w:sz w:val="20"/>
              </w:rPr>
              <w:t xml:space="preserve"> Według aktualnych szacunków</w:t>
            </w:r>
            <w:r w:rsidR="006B0145">
              <w:rPr>
                <w:rFonts w:ascii="Times New Roman" w:hAnsi="Times New Roman" w:cs="Times New Roman"/>
                <w:sz w:val="20"/>
              </w:rPr>
              <w:t xml:space="preserve">, wynikających ze wstępnego rozpoznania ofertowego przeprowadzonego przez </w:t>
            </w:r>
            <w:r w:rsidR="008B51D3">
              <w:rPr>
                <w:rFonts w:ascii="Times New Roman" w:hAnsi="Times New Roman" w:cs="Times New Roman"/>
                <w:sz w:val="20"/>
              </w:rPr>
              <w:t>U</w:t>
            </w:r>
            <w:r w:rsidR="00E07A8D">
              <w:rPr>
                <w:rFonts w:ascii="Times New Roman" w:hAnsi="Times New Roman" w:cs="Times New Roman"/>
                <w:sz w:val="20"/>
              </w:rPr>
              <w:t>FG, koszty</w:t>
            </w:r>
            <w:r w:rsidR="008D5E73" w:rsidRPr="008D5E73">
              <w:rPr>
                <w:rFonts w:ascii="Times New Roman" w:hAnsi="Times New Roman" w:cs="Times New Roman"/>
                <w:sz w:val="20"/>
              </w:rPr>
              <w:t xml:space="preserve"> związane z utrzymaniem i</w:t>
            </w:r>
            <w:r w:rsidR="008D5E73">
              <w:rPr>
                <w:rFonts w:ascii="Times New Roman" w:hAnsi="Times New Roman" w:cs="Times New Roman"/>
                <w:sz w:val="20"/>
              </w:rPr>
              <w:t> </w:t>
            </w:r>
            <w:r w:rsidR="008D5E73" w:rsidRPr="008D5E73">
              <w:rPr>
                <w:rFonts w:ascii="Times New Roman" w:hAnsi="Times New Roman" w:cs="Times New Roman"/>
                <w:sz w:val="20"/>
              </w:rPr>
              <w:t xml:space="preserve">obsługą Portalu </w:t>
            </w:r>
            <w:r w:rsidR="008D5E73">
              <w:rPr>
                <w:rFonts w:ascii="Times New Roman" w:hAnsi="Times New Roman" w:cs="Times New Roman"/>
                <w:sz w:val="20"/>
              </w:rPr>
              <w:t>o</w:t>
            </w:r>
            <w:r w:rsidR="008D5E73" w:rsidRPr="008D5E73">
              <w:rPr>
                <w:rFonts w:ascii="Times New Roman" w:hAnsi="Times New Roman" w:cs="Times New Roman"/>
                <w:sz w:val="20"/>
              </w:rPr>
              <w:t>d trzeciego roku będą się mieściły w granicach 4,0–5,7 mln zł rocznie.</w:t>
            </w:r>
          </w:p>
          <w:p w14:paraId="7080B1B9" w14:textId="434102D4" w:rsidR="006B0145" w:rsidRPr="005D7262" w:rsidRDefault="006B0145" w:rsidP="0099084C">
            <w:pPr>
              <w:spacing w:before="120" w:after="120"/>
              <w:jc w:val="both"/>
              <w:rPr>
                <w:rFonts w:ascii="Times New Roman" w:hAnsi="Times New Roman" w:cs="Times New Roman"/>
                <w:sz w:val="20"/>
              </w:rPr>
            </w:pPr>
            <w:r>
              <w:rPr>
                <w:rFonts w:ascii="Times New Roman" w:hAnsi="Times New Roman" w:cs="Times New Roman"/>
                <w:sz w:val="20"/>
              </w:rPr>
              <w:t>Ponadto nie zakłada się, w związku z przyjęciem projektu, wzrostu składek na DFG.</w:t>
            </w:r>
          </w:p>
        </w:tc>
      </w:tr>
      <w:tr w:rsidR="0099084C" w:rsidRPr="00FF4480" w14:paraId="07D4BF00" w14:textId="77777777" w:rsidTr="00E9565F">
        <w:trPr>
          <w:jc w:val="center"/>
        </w:trPr>
        <w:tc>
          <w:tcPr>
            <w:tcW w:w="554" w:type="dxa"/>
          </w:tcPr>
          <w:p w14:paraId="1283B364"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6185B06F" w14:textId="612155C8" w:rsidR="0099084C"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60CE7980" w14:textId="48B8582F"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8</w:t>
            </w:r>
          </w:p>
        </w:tc>
        <w:tc>
          <w:tcPr>
            <w:tcW w:w="5670" w:type="dxa"/>
            <w:vAlign w:val="center"/>
          </w:tcPr>
          <w:p w14:paraId="6863EC96" w14:textId="379D3D15" w:rsidR="0099084C" w:rsidRPr="00733D37" w:rsidRDefault="0099084C" w:rsidP="0099084C">
            <w:pPr>
              <w:spacing w:before="120" w:after="120"/>
              <w:jc w:val="both"/>
              <w:rPr>
                <w:rFonts w:ascii="Times New Roman" w:hAnsi="Times New Roman" w:cs="Times New Roman"/>
                <w:sz w:val="20"/>
              </w:rPr>
            </w:pPr>
            <w:r w:rsidRPr="00BA3B3A">
              <w:rPr>
                <w:rFonts w:ascii="Times New Roman" w:hAnsi="Times New Roman" w:cs="Times New Roman"/>
                <w:sz w:val="20"/>
              </w:rPr>
              <w:t>Projektodawca podaje, że „w przypadku podmiotów profesjonalnych objętych obowiązkiem zgłoszenia do Ewidencji oraz notariuszy objętych obowiązkiem przekazywania informacji Szefowi KAS rozszerzony zostanie zakres danych i</w:t>
            </w:r>
            <w:r>
              <w:rPr>
                <w:rFonts w:ascii="Times New Roman" w:hAnsi="Times New Roman" w:cs="Times New Roman"/>
                <w:sz w:val="20"/>
              </w:rPr>
              <w:t xml:space="preserve"> </w:t>
            </w:r>
            <w:r w:rsidRPr="00BA3B3A">
              <w:rPr>
                <w:rFonts w:ascii="Times New Roman" w:hAnsi="Times New Roman" w:cs="Times New Roman"/>
                <w:sz w:val="20"/>
              </w:rPr>
              <w:t>informacji podlegających zgłoszeniu.”. Takie stwierdzenie, co ZG SNRP już wielokrotnie podkreślał w niniejszym uzasadnieniu, jednoznacznie wskazuje, że skoro notariusze mają zwiększony zakres obowiązków, to w ślad za tym powinno iść za tymi nowymi obowiązkami dodatkowe wynagrodzenie. Projektodawca konsekwentnie o tym milczy.</w:t>
            </w:r>
          </w:p>
        </w:tc>
        <w:tc>
          <w:tcPr>
            <w:tcW w:w="4160" w:type="dxa"/>
          </w:tcPr>
          <w:p w14:paraId="6275C755" w14:textId="77777777" w:rsidR="006114EB" w:rsidRPr="00B908F5" w:rsidRDefault="006114EB" w:rsidP="006114EB">
            <w:pPr>
              <w:spacing w:before="120" w:after="120"/>
              <w:jc w:val="both"/>
              <w:rPr>
                <w:rFonts w:ascii="Times New Roman" w:hAnsi="Times New Roman" w:cs="Times New Roman"/>
                <w:sz w:val="20"/>
                <w:u w:val="single"/>
              </w:rPr>
            </w:pPr>
            <w:r w:rsidRPr="00B908F5">
              <w:rPr>
                <w:rFonts w:ascii="Times New Roman" w:hAnsi="Times New Roman" w:cs="Times New Roman"/>
                <w:sz w:val="20"/>
                <w:u w:val="single"/>
              </w:rPr>
              <w:t>Komentarz do uwagi</w:t>
            </w:r>
          </w:p>
          <w:p w14:paraId="1E016306" w14:textId="45AFC0AC" w:rsidR="008575D0" w:rsidRDefault="008575D0" w:rsidP="008575D0">
            <w:pPr>
              <w:spacing w:before="120" w:after="120"/>
              <w:jc w:val="both"/>
              <w:rPr>
                <w:rFonts w:ascii="Times New Roman" w:hAnsi="Times New Roman" w:cs="Times New Roman"/>
                <w:sz w:val="20"/>
              </w:rPr>
            </w:pPr>
            <w:r>
              <w:rPr>
                <w:rFonts w:ascii="Times New Roman" w:hAnsi="Times New Roman" w:cs="Times New Roman"/>
                <w:sz w:val="20"/>
              </w:rPr>
              <w:t xml:space="preserve">Projekt nie zawiera propozycji rozszerzenia obowiązków notariuszy o nową czynność, ale propozycję rozszerzenia zakresu danych sprawozdawanych w ramach już obecnie wykonywanej czynności. Rozszerzenie to obejmuje jedynie 5 kategorii danych, </w:t>
            </w:r>
            <w:r w:rsidR="00602E06" w:rsidRPr="00602E06">
              <w:rPr>
                <w:rFonts w:ascii="Times New Roman" w:hAnsi="Times New Roman" w:cs="Times New Roman"/>
                <w:sz w:val="20"/>
              </w:rPr>
              <w:t xml:space="preserve">łatwych do identyfikacji w ramach sporządzanego aktu notarialnego, </w:t>
            </w:r>
            <w:r>
              <w:rPr>
                <w:rFonts w:ascii="Times New Roman" w:hAnsi="Times New Roman" w:cs="Times New Roman"/>
                <w:sz w:val="20"/>
              </w:rPr>
              <w:t>co stanowi relatywnie niewielki procent informacji przekazywanych przez notariuszy KAS.</w:t>
            </w:r>
            <w:r w:rsidR="00B16428">
              <w:rPr>
                <w:rFonts w:ascii="Times New Roman" w:hAnsi="Times New Roman" w:cs="Times New Roman"/>
                <w:sz w:val="20"/>
              </w:rPr>
              <w:t xml:space="preserve"> </w:t>
            </w:r>
            <w:r w:rsidR="00B16428" w:rsidRPr="00B16428">
              <w:rPr>
                <w:rFonts w:ascii="Times New Roman" w:hAnsi="Times New Roman" w:cs="Times New Roman"/>
                <w:sz w:val="20"/>
              </w:rPr>
              <w:t>Dodatkowo, nie dla każdej transakcji wszystkie te dane będą wprowadzane (odmienne informacje dotyczą domów jednorodzinnych i lokali mieszkalnych).</w:t>
            </w:r>
          </w:p>
          <w:p w14:paraId="4BEC99F0" w14:textId="77777777" w:rsidR="00012849" w:rsidRDefault="00012849" w:rsidP="00012849">
            <w:pPr>
              <w:spacing w:before="120" w:after="120"/>
              <w:jc w:val="both"/>
              <w:rPr>
                <w:rFonts w:ascii="Times New Roman" w:hAnsi="Times New Roman" w:cs="Times New Roman"/>
                <w:sz w:val="20"/>
              </w:rPr>
            </w:pPr>
            <w:r>
              <w:rPr>
                <w:rFonts w:ascii="Times New Roman" w:hAnsi="Times New Roman" w:cs="Times New Roman"/>
                <w:sz w:val="20"/>
              </w:rPr>
              <w:t xml:space="preserve">Podobne jak </w:t>
            </w:r>
            <w:proofErr w:type="spellStart"/>
            <w:r>
              <w:rPr>
                <w:rFonts w:ascii="Times New Roman" w:hAnsi="Times New Roman" w:cs="Times New Roman"/>
                <w:sz w:val="20"/>
              </w:rPr>
              <w:t>MRiT</w:t>
            </w:r>
            <w:proofErr w:type="spellEnd"/>
            <w:r>
              <w:rPr>
                <w:rFonts w:ascii="Times New Roman" w:hAnsi="Times New Roman" w:cs="Times New Roman"/>
                <w:sz w:val="20"/>
              </w:rPr>
              <w:t xml:space="preserve"> stanowisko do przedmiotowej uwagi w toku analizy zastrzeżeń notariuszy wyraził Minister Sprawiedliwości. W </w:t>
            </w:r>
            <w:r w:rsidRPr="00B37B1E">
              <w:rPr>
                <w:rFonts w:ascii="Times New Roman" w:hAnsi="Times New Roman" w:cs="Times New Roman"/>
                <w:sz w:val="20"/>
              </w:rPr>
              <w:t xml:space="preserve">opinii przekazanej przez </w:t>
            </w:r>
            <w:r>
              <w:rPr>
                <w:rFonts w:ascii="Times New Roman" w:hAnsi="Times New Roman" w:cs="Times New Roman"/>
                <w:sz w:val="20"/>
              </w:rPr>
              <w:t>MS 29 października 2024 r.</w:t>
            </w:r>
            <w:r w:rsidRPr="00B37B1E">
              <w:rPr>
                <w:rFonts w:ascii="Times New Roman" w:hAnsi="Times New Roman" w:cs="Times New Roman"/>
                <w:sz w:val="20"/>
              </w:rPr>
              <w:t xml:space="preserve"> </w:t>
            </w:r>
            <w:r>
              <w:rPr>
                <w:rFonts w:ascii="Times New Roman" w:hAnsi="Times New Roman" w:cs="Times New Roman"/>
                <w:sz w:val="20"/>
              </w:rPr>
              <w:t>wskazano</w:t>
            </w:r>
            <w:r w:rsidRPr="00B37B1E">
              <w:rPr>
                <w:rFonts w:ascii="Times New Roman" w:hAnsi="Times New Roman" w:cs="Times New Roman"/>
                <w:sz w:val="20"/>
              </w:rPr>
              <w:t>, że „projektowane przepisy nie wprowadzają nowych rodzajów czynności notarialnych,</w:t>
            </w:r>
            <w:r>
              <w:rPr>
                <w:rFonts w:ascii="Times New Roman" w:hAnsi="Times New Roman" w:cs="Times New Roman"/>
                <w:sz w:val="20"/>
              </w:rPr>
              <w:t xml:space="preserve"> </w:t>
            </w:r>
            <w:r w:rsidRPr="00B37B1E">
              <w:rPr>
                <w:rFonts w:ascii="Times New Roman" w:hAnsi="Times New Roman" w:cs="Times New Roman"/>
                <w:sz w:val="20"/>
              </w:rPr>
              <w:t>które czyniłyby niezbędnym dostosowanie do nich przepisów rozporządzenia</w:t>
            </w:r>
            <w:r>
              <w:rPr>
                <w:rFonts w:ascii="Times New Roman" w:hAnsi="Times New Roman" w:cs="Times New Roman"/>
                <w:sz w:val="20"/>
              </w:rPr>
              <w:t xml:space="preserve"> </w:t>
            </w:r>
            <w:r w:rsidRPr="00B37B1E">
              <w:rPr>
                <w:rFonts w:ascii="Times New Roman" w:hAnsi="Times New Roman" w:cs="Times New Roman"/>
                <w:i/>
                <w:iCs/>
                <w:sz w:val="20"/>
              </w:rPr>
              <w:t xml:space="preserve">[tj. rozporządzenia Ministra Sprawiedliwości </w:t>
            </w:r>
            <w:r w:rsidRPr="00B37B1E">
              <w:rPr>
                <w:rFonts w:ascii="Times New Roman" w:hAnsi="Times New Roman" w:cs="Times New Roman"/>
                <w:i/>
                <w:iCs/>
                <w:sz w:val="20"/>
              </w:rPr>
              <w:lastRenderedPageBreak/>
              <w:t>z</w:t>
            </w:r>
            <w:r>
              <w:rPr>
                <w:rFonts w:ascii="Times New Roman" w:hAnsi="Times New Roman" w:cs="Times New Roman"/>
                <w:i/>
                <w:iCs/>
                <w:sz w:val="20"/>
              </w:rPr>
              <w:t> </w:t>
            </w:r>
            <w:r w:rsidRPr="00B37B1E">
              <w:rPr>
                <w:rFonts w:ascii="Times New Roman" w:hAnsi="Times New Roman" w:cs="Times New Roman"/>
                <w:i/>
                <w:iCs/>
                <w:sz w:val="20"/>
              </w:rPr>
              <w:t xml:space="preserve">dnia 28 czerwca 2004 r. w sprawie maksymalnych stawek taksy notarialnej – przyp. </w:t>
            </w:r>
            <w:proofErr w:type="spellStart"/>
            <w:r w:rsidRPr="00B37B1E">
              <w:rPr>
                <w:rFonts w:ascii="Times New Roman" w:hAnsi="Times New Roman" w:cs="Times New Roman"/>
                <w:i/>
                <w:iCs/>
                <w:sz w:val="20"/>
              </w:rPr>
              <w:t>MRiT</w:t>
            </w:r>
            <w:proofErr w:type="spellEnd"/>
            <w:r w:rsidRPr="00B37B1E">
              <w:rPr>
                <w:rFonts w:ascii="Times New Roman" w:hAnsi="Times New Roman" w:cs="Times New Roman"/>
                <w:i/>
                <w:iCs/>
                <w:sz w:val="20"/>
              </w:rPr>
              <w:t>]</w:t>
            </w:r>
            <w:r>
              <w:rPr>
                <w:rFonts w:ascii="Times New Roman" w:hAnsi="Times New Roman" w:cs="Times New Roman"/>
                <w:sz w:val="20"/>
              </w:rPr>
              <w:t xml:space="preserve"> </w:t>
            </w:r>
            <w:r w:rsidRPr="00B37B1E">
              <w:rPr>
                <w:rFonts w:ascii="Times New Roman" w:hAnsi="Times New Roman" w:cs="Times New Roman"/>
                <w:sz w:val="20"/>
              </w:rPr>
              <w:t>jeszcze</w:t>
            </w:r>
            <w:r>
              <w:rPr>
                <w:rFonts w:ascii="Times New Roman" w:hAnsi="Times New Roman" w:cs="Times New Roman"/>
                <w:sz w:val="20"/>
              </w:rPr>
              <w:t xml:space="preserve"> </w:t>
            </w:r>
            <w:r w:rsidRPr="00B37B1E">
              <w:rPr>
                <w:rFonts w:ascii="Times New Roman" w:hAnsi="Times New Roman" w:cs="Times New Roman"/>
                <w:sz w:val="20"/>
              </w:rPr>
              <w:t>przed ich wejściem w życie. Opiniujący nie przedstawili również żadnych konkretnych</w:t>
            </w:r>
            <w:r>
              <w:rPr>
                <w:rFonts w:ascii="Times New Roman" w:hAnsi="Times New Roman" w:cs="Times New Roman"/>
                <w:sz w:val="20"/>
              </w:rPr>
              <w:t xml:space="preserve"> </w:t>
            </w:r>
            <w:r w:rsidRPr="00B37B1E">
              <w:rPr>
                <w:rFonts w:ascii="Times New Roman" w:hAnsi="Times New Roman" w:cs="Times New Roman"/>
                <w:sz w:val="20"/>
              </w:rPr>
              <w:t>propozycji odnośnie do wartości czy też metodologii tej waloryzacji.</w:t>
            </w:r>
            <w:r>
              <w:rPr>
                <w:rFonts w:ascii="Times New Roman" w:hAnsi="Times New Roman" w:cs="Times New Roman"/>
                <w:sz w:val="20"/>
              </w:rPr>
              <w:t xml:space="preserve"> </w:t>
            </w:r>
          </w:p>
          <w:p w14:paraId="5C78229D" w14:textId="41D9430B" w:rsidR="0099084C" w:rsidRPr="00FF4480" w:rsidRDefault="00012849" w:rsidP="0099084C">
            <w:pPr>
              <w:spacing w:before="120" w:after="120"/>
              <w:jc w:val="both"/>
              <w:rPr>
                <w:rFonts w:ascii="Times New Roman" w:hAnsi="Times New Roman" w:cs="Times New Roman"/>
                <w:sz w:val="20"/>
              </w:rPr>
            </w:pPr>
            <w:r w:rsidRPr="00B37B1E">
              <w:rPr>
                <w:rFonts w:ascii="Times New Roman" w:hAnsi="Times New Roman" w:cs="Times New Roman"/>
                <w:sz w:val="20"/>
              </w:rPr>
              <w:t>Jednocześnie zarówno zagadnienie wzrostu obciążeń notariuszy o</w:t>
            </w:r>
            <w:r>
              <w:rPr>
                <w:rFonts w:ascii="Times New Roman" w:hAnsi="Times New Roman" w:cs="Times New Roman"/>
                <w:sz w:val="20"/>
              </w:rPr>
              <w:t xml:space="preserve"> </w:t>
            </w:r>
            <w:r w:rsidRPr="00B37B1E">
              <w:rPr>
                <w:rFonts w:ascii="Times New Roman" w:hAnsi="Times New Roman" w:cs="Times New Roman"/>
                <w:sz w:val="20"/>
              </w:rPr>
              <w:t>charakterze</w:t>
            </w:r>
            <w:r>
              <w:rPr>
                <w:rFonts w:ascii="Times New Roman" w:hAnsi="Times New Roman" w:cs="Times New Roman"/>
                <w:sz w:val="20"/>
              </w:rPr>
              <w:t xml:space="preserve"> </w:t>
            </w:r>
            <w:r w:rsidRPr="00B37B1E">
              <w:rPr>
                <w:rFonts w:ascii="Times New Roman" w:hAnsi="Times New Roman" w:cs="Times New Roman"/>
                <w:sz w:val="20"/>
              </w:rPr>
              <w:t>„sprawozdawczo-notyfikacyjnym”, jak też zgłaszanych przez organy samorządu</w:t>
            </w:r>
            <w:r>
              <w:rPr>
                <w:rFonts w:ascii="Times New Roman" w:hAnsi="Times New Roman" w:cs="Times New Roman"/>
                <w:sz w:val="20"/>
              </w:rPr>
              <w:t xml:space="preserve"> </w:t>
            </w:r>
            <w:r w:rsidRPr="00B37B1E">
              <w:rPr>
                <w:rFonts w:ascii="Times New Roman" w:hAnsi="Times New Roman" w:cs="Times New Roman"/>
                <w:sz w:val="20"/>
              </w:rPr>
              <w:t>notarialnego postulatów konieczności aktualizacji maksymalnych stawek taksy notarialnej</w:t>
            </w:r>
            <w:r>
              <w:rPr>
                <w:rFonts w:ascii="Times New Roman" w:hAnsi="Times New Roman" w:cs="Times New Roman"/>
                <w:sz w:val="20"/>
              </w:rPr>
              <w:t xml:space="preserve"> </w:t>
            </w:r>
            <w:r w:rsidRPr="00B37B1E">
              <w:rPr>
                <w:rFonts w:ascii="Times New Roman" w:hAnsi="Times New Roman" w:cs="Times New Roman"/>
                <w:sz w:val="20"/>
              </w:rPr>
              <w:t>jest znana resortowi sprawiedliwości. Podkreślić należy, że wszczęcie prac w tym zakresie</w:t>
            </w:r>
            <w:r>
              <w:rPr>
                <w:rFonts w:ascii="Times New Roman" w:hAnsi="Times New Roman" w:cs="Times New Roman"/>
                <w:sz w:val="20"/>
              </w:rPr>
              <w:t xml:space="preserve"> </w:t>
            </w:r>
            <w:r w:rsidRPr="00B37B1E">
              <w:rPr>
                <w:rFonts w:ascii="Times New Roman" w:hAnsi="Times New Roman" w:cs="Times New Roman"/>
                <w:sz w:val="20"/>
              </w:rPr>
              <w:t>wymaga kierunkowej decyzji, w</w:t>
            </w:r>
            <w:r>
              <w:rPr>
                <w:rFonts w:ascii="Times New Roman" w:hAnsi="Times New Roman" w:cs="Times New Roman"/>
                <w:sz w:val="20"/>
              </w:rPr>
              <w:t> </w:t>
            </w:r>
            <w:r w:rsidRPr="00B37B1E">
              <w:rPr>
                <w:rFonts w:ascii="Times New Roman" w:hAnsi="Times New Roman" w:cs="Times New Roman"/>
                <w:sz w:val="20"/>
              </w:rPr>
              <w:t>szczególności w świetle okoliczności, że podobne</w:t>
            </w:r>
            <w:r>
              <w:rPr>
                <w:rFonts w:ascii="Times New Roman" w:hAnsi="Times New Roman" w:cs="Times New Roman"/>
                <w:sz w:val="20"/>
              </w:rPr>
              <w:t xml:space="preserve"> </w:t>
            </w:r>
            <w:r w:rsidRPr="00B37B1E">
              <w:rPr>
                <w:rFonts w:ascii="Times New Roman" w:hAnsi="Times New Roman" w:cs="Times New Roman"/>
                <w:sz w:val="20"/>
              </w:rPr>
              <w:t>postulaty można sformułować również odnośnie do stawek urzędowych wynagrodzeń</w:t>
            </w:r>
            <w:r>
              <w:rPr>
                <w:rFonts w:ascii="Times New Roman" w:hAnsi="Times New Roman" w:cs="Times New Roman"/>
                <w:sz w:val="20"/>
              </w:rPr>
              <w:t xml:space="preserve"> </w:t>
            </w:r>
            <w:r w:rsidRPr="00B37B1E">
              <w:rPr>
                <w:rFonts w:ascii="Times New Roman" w:hAnsi="Times New Roman" w:cs="Times New Roman"/>
                <w:sz w:val="20"/>
              </w:rPr>
              <w:t>obowiązujących przedstawicieli innych zawodów prawniczych, jak też aktualnych opłat</w:t>
            </w:r>
            <w:r>
              <w:rPr>
                <w:rFonts w:ascii="Times New Roman" w:hAnsi="Times New Roman" w:cs="Times New Roman"/>
                <w:sz w:val="20"/>
              </w:rPr>
              <w:t xml:space="preserve"> </w:t>
            </w:r>
            <w:r w:rsidRPr="00B37B1E">
              <w:rPr>
                <w:rFonts w:ascii="Times New Roman" w:hAnsi="Times New Roman" w:cs="Times New Roman"/>
                <w:sz w:val="20"/>
              </w:rPr>
              <w:t>sądowych. W tym kontekście nie wydaje się zasadne uzależnianie dopuszczalności</w:t>
            </w:r>
            <w:r>
              <w:rPr>
                <w:rFonts w:ascii="Times New Roman" w:hAnsi="Times New Roman" w:cs="Times New Roman"/>
                <w:sz w:val="20"/>
              </w:rPr>
              <w:t xml:space="preserve"> </w:t>
            </w:r>
            <w:r w:rsidRPr="00B37B1E">
              <w:rPr>
                <w:rFonts w:ascii="Times New Roman" w:hAnsi="Times New Roman" w:cs="Times New Roman"/>
                <w:sz w:val="20"/>
              </w:rPr>
              <w:t>wprowadzenia projektowanych zmian od waloryzacji taksy notarialnej. W tej sytuacji</w:t>
            </w:r>
            <w:r>
              <w:rPr>
                <w:rFonts w:ascii="Times New Roman" w:hAnsi="Times New Roman" w:cs="Times New Roman"/>
                <w:sz w:val="20"/>
              </w:rPr>
              <w:t xml:space="preserve"> </w:t>
            </w:r>
            <w:r w:rsidRPr="00B37B1E">
              <w:rPr>
                <w:rFonts w:ascii="Times New Roman" w:hAnsi="Times New Roman" w:cs="Times New Roman"/>
                <w:sz w:val="20"/>
              </w:rPr>
              <w:t>należy tylko zasygnalizować, że przedmiotowe kwestie mają charakter wielowymiarowy</w:t>
            </w:r>
            <w:r>
              <w:rPr>
                <w:rFonts w:ascii="Times New Roman" w:hAnsi="Times New Roman" w:cs="Times New Roman"/>
                <w:sz w:val="20"/>
              </w:rPr>
              <w:t xml:space="preserve"> </w:t>
            </w:r>
            <w:r w:rsidRPr="00B37B1E">
              <w:rPr>
                <w:rFonts w:ascii="Times New Roman" w:hAnsi="Times New Roman" w:cs="Times New Roman"/>
                <w:sz w:val="20"/>
              </w:rPr>
              <w:t>i wymagają rozwiązań systemowych. Wzrostowi obciążeń „sprawozdawczo</w:t>
            </w:r>
            <w:r>
              <w:rPr>
                <w:rFonts w:ascii="Times New Roman" w:hAnsi="Times New Roman" w:cs="Times New Roman"/>
                <w:sz w:val="20"/>
              </w:rPr>
              <w:t>-</w:t>
            </w:r>
            <w:r w:rsidRPr="00B37B1E">
              <w:rPr>
                <w:rFonts w:ascii="Times New Roman" w:hAnsi="Times New Roman" w:cs="Times New Roman"/>
                <w:sz w:val="20"/>
              </w:rPr>
              <w:t>notyfikacyjnych” notariuszy towarzyszy bowiem postępująca informatyzacja organów</w:t>
            </w:r>
            <w:r>
              <w:rPr>
                <w:rFonts w:ascii="Times New Roman" w:hAnsi="Times New Roman" w:cs="Times New Roman"/>
                <w:sz w:val="20"/>
              </w:rPr>
              <w:t xml:space="preserve"> </w:t>
            </w:r>
            <w:r w:rsidRPr="00B37B1E">
              <w:rPr>
                <w:rFonts w:ascii="Times New Roman" w:hAnsi="Times New Roman" w:cs="Times New Roman"/>
                <w:sz w:val="20"/>
              </w:rPr>
              <w:t>administracji publicznej oraz sposobu prowadzenia kancelarii notarialnych, która winna</w:t>
            </w:r>
            <w:r>
              <w:rPr>
                <w:rFonts w:ascii="Times New Roman" w:hAnsi="Times New Roman" w:cs="Times New Roman"/>
                <w:sz w:val="20"/>
              </w:rPr>
              <w:t xml:space="preserve"> </w:t>
            </w:r>
            <w:r w:rsidRPr="00B37B1E">
              <w:rPr>
                <w:rFonts w:ascii="Times New Roman" w:hAnsi="Times New Roman" w:cs="Times New Roman"/>
                <w:sz w:val="20"/>
              </w:rPr>
              <w:t>prowadzić do zwiększenia ergonomii ich wykonywania. Podobnie realnemu spadkowi</w:t>
            </w:r>
            <w:r>
              <w:rPr>
                <w:rFonts w:ascii="Times New Roman" w:hAnsi="Times New Roman" w:cs="Times New Roman"/>
                <w:sz w:val="20"/>
              </w:rPr>
              <w:t xml:space="preserve"> </w:t>
            </w:r>
            <w:r w:rsidRPr="00B37B1E">
              <w:rPr>
                <w:rFonts w:ascii="Times New Roman" w:hAnsi="Times New Roman" w:cs="Times New Roman"/>
                <w:sz w:val="20"/>
              </w:rPr>
              <w:t>wartości stawek taksy notarialnej towarzyszy jednoczesny wzrost cen transakcyjnych</w:t>
            </w:r>
            <w:r>
              <w:rPr>
                <w:rFonts w:ascii="Times New Roman" w:hAnsi="Times New Roman" w:cs="Times New Roman"/>
                <w:sz w:val="20"/>
              </w:rPr>
              <w:t xml:space="preserve"> </w:t>
            </w:r>
            <w:r w:rsidRPr="00B37B1E">
              <w:rPr>
                <w:rFonts w:ascii="Times New Roman" w:hAnsi="Times New Roman" w:cs="Times New Roman"/>
                <w:sz w:val="20"/>
              </w:rPr>
              <w:t>w obrocie nieruchomościami, co prowadzi</w:t>
            </w:r>
            <w:r>
              <w:rPr>
                <w:rFonts w:ascii="Times New Roman" w:hAnsi="Times New Roman" w:cs="Times New Roman"/>
                <w:sz w:val="20"/>
              </w:rPr>
              <w:t xml:space="preserve"> </w:t>
            </w:r>
            <w:r w:rsidRPr="00B37B1E">
              <w:rPr>
                <w:rFonts w:ascii="Times New Roman" w:hAnsi="Times New Roman" w:cs="Times New Roman"/>
                <w:sz w:val="20"/>
              </w:rPr>
              <w:t>do</w:t>
            </w:r>
            <w:r>
              <w:rPr>
                <w:rFonts w:ascii="Times New Roman" w:hAnsi="Times New Roman" w:cs="Times New Roman"/>
                <w:sz w:val="20"/>
              </w:rPr>
              <w:t> </w:t>
            </w:r>
            <w:r w:rsidRPr="00B37B1E">
              <w:rPr>
                <w:rFonts w:ascii="Times New Roman" w:hAnsi="Times New Roman" w:cs="Times New Roman"/>
                <w:sz w:val="20"/>
              </w:rPr>
              <w:t>odpowiedniego wzrostu stawek</w:t>
            </w:r>
            <w:r>
              <w:rPr>
                <w:rFonts w:ascii="Times New Roman" w:hAnsi="Times New Roman" w:cs="Times New Roman"/>
                <w:sz w:val="20"/>
              </w:rPr>
              <w:t xml:space="preserve"> </w:t>
            </w:r>
            <w:r w:rsidRPr="00B37B1E">
              <w:rPr>
                <w:rFonts w:ascii="Times New Roman" w:hAnsi="Times New Roman" w:cs="Times New Roman"/>
                <w:sz w:val="20"/>
              </w:rPr>
              <w:t>pobieranych przez notariuszy oraz wprowadzenie nowych rodzajów czynności</w:t>
            </w:r>
            <w:r>
              <w:rPr>
                <w:rFonts w:ascii="Times New Roman" w:hAnsi="Times New Roman" w:cs="Times New Roman"/>
                <w:sz w:val="20"/>
              </w:rPr>
              <w:t xml:space="preserve"> </w:t>
            </w:r>
            <w:r w:rsidRPr="00B37B1E">
              <w:rPr>
                <w:rFonts w:ascii="Times New Roman" w:hAnsi="Times New Roman" w:cs="Times New Roman"/>
                <w:sz w:val="20"/>
              </w:rPr>
              <w:t xml:space="preserve">notarialnych rozszerzających </w:t>
            </w:r>
            <w:r w:rsidRPr="00B37B1E">
              <w:rPr>
                <w:rFonts w:ascii="Times New Roman" w:hAnsi="Times New Roman" w:cs="Times New Roman"/>
                <w:sz w:val="20"/>
              </w:rPr>
              <w:lastRenderedPageBreak/>
              <w:t>zakres świadczonych przez nich usług. Warunki</w:t>
            </w:r>
            <w:r>
              <w:rPr>
                <w:rFonts w:ascii="Times New Roman" w:hAnsi="Times New Roman" w:cs="Times New Roman"/>
                <w:sz w:val="20"/>
              </w:rPr>
              <w:t xml:space="preserve"> </w:t>
            </w:r>
            <w:r w:rsidRPr="00B37B1E">
              <w:rPr>
                <w:rFonts w:ascii="Times New Roman" w:hAnsi="Times New Roman" w:cs="Times New Roman"/>
                <w:sz w:val="20"/>
              </w:rPr>
              <w:t>wykonywania zawodu notariusza należy uznać również za wciąż znajdujące się na</w:t>
            </w:r>
            <w:r>
              <w:rPr>
                <w:rFonts w:ascii="Times New Roman" w:hAnsi="Times New Roman" w:cs="Times New Roman"/>
                <w:sz w:val="20"/>
              </w:rPr>
              <w:t xml:space="preserve"> </w:t>
            </w:r>
            <w:r w:rsidRPr="00B37B1E">
              <w:rPr>
                <w:rFonts w:ascii="Times New Roman" w:hAnsi="Times New Roman" w:cs="Times New Roman"/>
                <w:sz w:val="20"/>
              </w:rPr>
              <w:t>atrakcyjnym poziomie, o czym świadczy stały wzrost osób wykonujących ten zawód</w:t>
            </w:r>
            <w:r>
              <w:rPr>
                <w:rFonts w:ascii="Times New Roman" w:hAnsi="Times New Roman" w:cs="Times New Roman"/>
                <w:sz w:val="20"/>
              </w:rPr>
              <w:t>”</w:t>
            </w:r>
            <w:r w:rsidR="008B51D3">
              <w:rPr>
                <w:rFonts w:ascii="Times New Roman" w:hAnsi="Times New Roman" w:cs="Times New Roman"/>
                <w:sz w:val="20"/>
              </w:rPr>
              <w:t>.</w:t>
            </w:r>
          </w:p>
        </w:tc>
      </w:tr>
      <w:tr w:rsidR="0099084C" w:rsidRPr="00FF4480" w14:paraId="70F99C55" w14:textId="77777777" w:rsidTr="00E9565F">
        <w:trPr>
          <w:jc w:val="center"/>
        </w:trPr>
        <w:tc>
          <w:tcPr>
            <w:tcW w:w="554" w:type="dxa"/>
          </w:tcPr>
          <w:p w14:paraId="07B00DF0" w14:textId="77777777" w:rsidR="0099084C" w:rsidRPr="00FF4480" w:rsidRDefault="0099084C" w:rsidP="0099084C">
            <w:pPr>
              <w:pStyle w:val="Akapitzlist"/>
              <w:numPr>
                <w:ilvl w:val="0"/>
                <w:numId w:val="11"/>
              </w:numPr>
              <w:spacing w:before="120"/>
              <w:ind w:left="36" w:right="-534" w:firstLine="0"/>
              <w:jc w:val="center"/>
              <w:rPr>
                <w:rFonts w:ascii="Times New Roman" w:hAnsi="Times New Roman" w:cs="Times New Roman"/>
                <w:b/>
                <w:sz w:val="20"/>
              </w:rPr>
            </w:pPr>
          </w:p>
        </w:tc>
        <w:tc>
          <w:tcPr>
            <w:tcW w:w="1931" w:type="dxa"/>
            <w:vAlign w:val="center"/>
          </w:tcPr>
          <w:p w14:paraId="081366BD" w14:textId="7591D640" w:rsidR="0099084C" w:rsidRDefault="0099084C" w:rsidP="0099084C">
            <w:pPr>
              <w:spacing w:before="120" w:after="120"/>
              <w:rPr>
                <w:rFonts w:ascii="Times New Roman" w:hAnsi="Times New Roman" w:cs="Times New Roman"/>
                <w:sz w:val="20"/>
              </w:rPr>
            </w:pPr>
            <w:r w:rsidRPr="0058074B">
              <w:rPr>
                <w:rFonts w:ascii="Times New Roman" w:hAnsi="Times New Roman" w:cs="Times New Roman"/>
                <w:sz w:val="20"/>
              </w:rPr>
              <w:t>Stowarzyszenie Notariuszy RP</w:t>
            </w:r>
          </w:p>
        </w:tc>
        <w:tc>
          <w:tcPr>
            <w:tcW w:w="1905" w:type="dxa"/>
            <w:vAlign w:val="center"/>
          </w:tcPr>
          <w:p w14:paraId="6B591D20" w14:textId="07AC1AF6" w:rsidR="0099084C" w:rsidRDefault="0099084C" w:rsidP="0099084C">
            <w:pPr>
              <w:spacing w:before="120" w:after="120"/>
              <w:jc w:val="center"/>
              <w:rPr>
                <w:rFonts w:ascii="Times New Roman" w:hAnsi="Times New Roman" w:cs="Times New Roman"/>
                <w:sz w:val="20"/>
              </w:rPr>
            </w:pPr>
            <w:r>
              <w:rPr>
                <w:rFonts w:ascii="Times New Roman" w:hAnsi="Times New Roman" w:cs="Times New Roman"/>
                <w:sz w:val="20"/>
              </w:rPr>
              <w:t>9</w:t>
            </w:r>
          </w:p>
        </w:tc>
        <w:tc>
          <w:tcPr>
            <w:tcW w:w="5670" w:type="dxa"/>
            <w:vAlign w:val="center"/>
          </w:tcPr>
          <w:p w14:paraId="54BF44DE" w14:textId="1EDEA99F" w:rsidR="0099084C" w:rsidRPr="00B04E39" w:rsidRDefault="0099084C" w:rsidP="0099084C">
            <w:pPr>
              <w:spacing w:before="120" w:after="120"/>
              <w:jc w:val="both"/>
              <w:rPr>
                <w:rFonts w:ascii="Times New Roman" w:hAnsi="Times New Roman" w:cs="Times New Roman"/>
                <w:sz w:val="20"/>
              </w:rPr>
            </w:pPr>
            <w:r w:rsidRPr="00BA3B3A">
              <w:rPr>
                <w:rFonts w:ascii="Times New Roman" w:hAnsi="Times New Roman" w:cs="Times New Roman"/>
                <w:sz w:val="20"/>
              </w:rPr>
              <w:t>Opinia, że proponowane zmiany nie mają wpływu na rynek pracy jest wysoce nieuzasadniona i nieprawdziwa. Z dużym prawdopodobieństwem można stwierdzić, że będzie wiązało się to nie tylko z zatrudnieniem dodatkowych osób do dokonywania czynności sprawozdawczych, ale także ze zwiększeniem kosztów przeznaczonych na obsługę jeszcze bardziej rozbudowanych systemów informatycznych. I o ile deweloperzy przerzucą w efekcie te opłaty na swoich klientów a urzędnicy organów administracji publicznej otrzymają zapewne wyższe wynagrodzenie, to notariusz niestety kolejny obowiązek będzie realizował za darmo, bo obecne przepisy nie pozwalają mu policzyć z tego tytułu dodatkowych opłat, a zadania te w najmniejszy sposób nie generują nowych czynności, za które można pobrać wynagrodzenie.</w:t>
            </w:r>
          </w:p>
        </w:tc>
        <w:tc>
          <w:tcPr>
            <w:tcW w:w="4160" w:type="dxa"/>
          </w:tcPr>
          <w:p w14:paraId="1E4665F6" w14:textId="77777777" w:rsidR="008575D0" w:rsidRPr="00B908F5" w:rsidRDefault="008575D0" w:rsidP="008575D0">
            <w:pPr>
              <w:spacing w:before="120" w:after="120"/>
              <w:jc w:val="both"/>
              <w:rPr>
                <w:rFonts w:ascii="Times New Roman" w:hAnsi="Times New Roman" w:cs="Times New Roman"/>
                <w:sz w:val="20"/>
                <w:u w:val="single"/>
              </w:rPr>
            </w:pPr>
            <w:r w:rsidRPr="00B908F5">
              <w:rPr>
                <w:rFonts w:ascii="Times New Roman" w:hAnsi="Times New Roman" w:cs="Times New Roman"/>
                <w:sz w:val="20"/>
                <w:u w:val="single"/>
              </w:rPr>
              <w:t>Komentarz do uwagi</w:t>
            </w:r>
          </w:p>
          <w:p w14:paraId="4F4A505B" w14:textId="31CE8A92" w:rsidR="0099084C" w:rsidRPr="005D7262" w:rsidRDefault="008575D0" w:rsidP="0099084C">
            <w:pPr>
              <w:spacing w:before="120" w:after="120"/>
              <w:jc w:val="both"/>
              <w:rPr>
                <w:rFonts w:ascii="Times New Roman" w:hAnsi="Times New Roman" w:cs="Times New Roman"/>
                <w:sz w:val="20"/>
              </w:rPr>
            </w:pPr>
            <w:r>
              <w:rPr>
                <w:rFonts w:ascii="Times New Roman" w:hAnsi="Times New Roman" w:cs="Times New Roman"/>
                <w:sz w:val="20"/>
              </w:rPr>
              <w:t>Projektodawca ma wątpliwość, czy rozszerzenie zakresu danych o 5 kategorii będzie uzasadniało zatrudnienie przez notariusza dodatkowego pracownika.</w:t>
            </w:r>
          </w:p>
        </w:tc>
      </w:tr>
    </w:tbl>
    <w:p w14:paraId="73C5C0E1" w14:textId="6C5EE69F" w:rsidR="00721E2E" w:rsidRPr="005D7262" w:rsidRDefault="00721E2E" w:rsidP="005D7262">
      <w:pPr>
        <w:spacing w:line="240" w:lineRule="auto"/>
        <w:rPr>
          <w:rFonts w:ascii="Times New Roman" w:hAnsi="Times New Roman" w:cs="Times New Roman"/>
        </w:rPr>
      </w:pPr>
    </w:p>
    <w:sectPr w:rsidR="00721E2E" w:rsidRPr="005D7262" w:rsidSect="002F40D5">
      <w:headerReference w:type="default" r:id="rId9"/>
      <w:footerReference w:type="default" r:id="rId10"/>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EC0EEC" w14:textId="77777777" w:rsidR="00794E8C" w:rsidRDefault="00794E8C" w:rsidP="00735AA5">
      <w:pPr>
        <w:spacing w:after="0" w:line="240" w:lineRule="auto"/>
      </w:pPr>
      <w:r>
        <w:separator/>
      </w:r>
    </w:p>
  </w:endnote>
  <w:endnote w:type="continuationSeparator" w:id="0">
    <w:p w14:paraId="30119C0D" w14:textId="77777777" w:rsidR="00794E8C" w:rsidRDefault="00794E8C" w:rsidP="00735A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8"/>
      </w:rPr>
      <w:id w:val="451909213"/>
      <w:docPartObj>
        <w:docPartGallery w:val="Page Numbers (Bottom of Page)"/>
        <w:docPartUnique/>
      </w:docPartObj>
    </w:sdtPr>
    <w:sdtEndPr/>
    <w:sdtContent>
      <w:p w14:paraId="3459C727" w14:textId="77777777" w:rsidR="003E3091" w:rsidRPr="000B346A" w:rsidRDefault="003E3091">
        <w:pPr>
          <w:pStyle w:val="Stopka"/>
          <w:jc w:val="right"/>
          <w:rPr>
            <w:rFonts w:ascii="Arial" w:hAnsi="Arial" w:cs="Arial"/>
            <w:sz w:val="18"/>
          </w:rPr>
        </w:pPr>
        <w:r>
          <w:rPr>
            <w:rFonts w:ascii="Arial" w:hAnsi="Arial" w:cs="Arial"/>
            <w:sz w:val="18"/>
          </w:rPr>
          <w:t>S</w:t>
        </w:r>
        <w:r w:rsidRPr="000B346A">
          <w:rPr>
            <w:rFonts w:ascii="Arial" w:hAnsi="Arial" w:cs="Arial"/>
            <w:sz w:val="18"/>
          </w:rPr>
          <w:t xml:space="preserve">trona | </w:t>
        </w:r>
        <w:r w:rsidRPr="000B346A">
          <w:rPr>
            <w:rFonts w:ascii="Arial" w:hAnsi="Arial" w:cs="Arial"/>
            <w:sz w:val="18"/>
          </w:rPr>
          <w:fldChar w:fldCharType="begin"/>
        </w:r>
        <w:r w:rsidRPr="000B346A">
          <w:rPr>
            <w:rFonts w:ascii="Arial" w:hAnsi="Arial" w:cs="Arial"/>
            <w:sz w:val="18"/>
          </w:rPr>
          <w:instrText>PAGE   \* MERGEFORMAT</w:instrText>
        </w:r>
        <w:r w:rsidRPr="000B346A">
          <w:rPr>
            <w:rFonts w:ascii="Arial" w:hAnsi="Arial" w:cs="Arial"/>
            <w:sz w:val="18"/>
          </w:rPr>
          <w:fldChar w:fldCharType="separate"/>
        </w:r>
        <w:r w:rsidR="00984581">
          <w:rPr>
            <w:rFonts w:ascii="Arial" w:hAnsi="Arial" w:cs="Arial"/>
            <w:noProof/>
            <w:sz w:val="18"/>
          </w:rPr>
          <w:t>1</w:t>
        </w:r>
        <w:r w:rsidRPr="000B346A">
          <w:rPr>
            <w:rFonts w:ascii="Arial" w:hAnsi="Arial" w:cs="Arial"/>
            <w:sz w:val="18"/>
          </w:rPr>
          <w:fldChar w:fldCharType="end"/>
        </w:r>
        <w:r w:rsidRPr="000B346A">
          <w:rPr>
            <w:rFonts w:ascii="Arial" w:hAnsi="Arial" w:cs="Arial"/>
            <w:sz w:val="18"/>
          </w:rPr>
          <w:t xml:space="preserve"> </w:t>
        </w:r>
      </w:p>
    </w:sdtContent>
  </w:sdt>
  <w:p w14:paraId="7339FC7B" w14:textId="77777777" w:rsidR="003E3091" w:rsidRDefault="003E309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E14495" w14:textId="77777777" w:rsidR="00794E8C" w:rsidRDefault="00794E8C" w:rsidP="00735AA5">
      <w:pPr>
        <w:spacing w:after="0" w:line="240" w:lineRule="auto"/>
      </w:pPr>
      <w:r>
        <w:separator/>
      </w:r>
    </w:p>
  </w:footnote>
  <w:footnote w:type="continuationSeparator" w:id="0">
    <w:p w14:paraId="2A0E1A14" w14:textId="77777777" w:rsidR="00794E8C" w:rsidRDefault="00794E8C" w:rsidP="00735AA5">
      <w:pPr>
        <w:spacing w:after="0" w:line="240" w:lineRule="auto"/>
      </w:pPr>
      <w:r>
        <w:continuationSeparator/>
      </w:r>
    </w:p>
  </w:footnote>
  <w:footnote w:id="1">
    <w:p w14:paraId="5070D200" w14:textId="2BDFA9C1" w:rsidR="001839D2" w:rsidRPr="001839D2" w:rsidRDefault="001839D2" w:rsidP="001839D2">
      <w:pPr>
        <w:pStyle w:val="Tekstprzypisudolnego"/>
        <w:rPr>
          <w:rFonts w:ascii="Times New Roman" w:hAnsi="Times New Roman" w:cs="Times New Roman"/>
          <w:sz w:val="16"/>
          <w:szCs w:val="16"/>
        </w:rPr>
      </w:pPr>
      <w:r w:rsidRPr="001839D2">
        <w:rPr>
          <w:rStyle w:val="Odwoanieprzypisudolnego"/>
          <w:rFonts w:ascii="Times New Roman" w:hAnsi="Times New Roman" w:cs="Times New Roman"/>
          <w:sz w:val="16"/>
          <w:szCs w:val="16"/>
        </w:rPr>
        <w:footnoteRef/>
      </w:r>
      <w:r w:rsidRPr="001839D2">
        <w:rPr>
          <w:rFonts w:ascii="Times New Roman" w:hAnsi="Times New Roman" w:cs="Times New Roman"/>
          <w:sz w:val="16"/>
          <w:szCs w:val="16"/>
        </w:rPr>
        <w:t xml:space="preserve"> Ustawa z dnia 20 maja 2021 r. o ochronie praw nabywcy lokalu mieszkalnego lub domu jednorodzinnego oraz Deweloperskim Funduszu Gwarancyjnym.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0" w:type="auto"/>
      <w:jc w:val="center"/>
      <w:tblLook w:val="04A0" w:firstRow="1" w:lastRow="0" w:firstColumn="1" w:lastColumn="0" w:noHBand="0" w:noVBand="1"/>
    </w:tblPr>
    <w:tblGrid>
      <w:gridCol w:w="554"/>
      <w:gridCol w:w="1931"/>
      <w:gridCol w:w="1876"/>
      <w:gridCol w:w="5670"/>
      <w:gridCol w:w="4189"/>
    </w:tblGrid>
    <w:tr w:rsidR="003E3091" w:rsidRPr="00FF4480" w14:paraId="28ADF3FC" w14:textId="77777777" w:rsidTr="00A57B9D">
      <w:trPr>
        <w:trHeight w:val="592"/>
        <w:jc w:val="center"/>
      </w:trPr>
      <w:tc>
        <w:tcPr>
          <w:tcW w:w="554" w:type="dxa"/>
          <w:vAlign w:val="center"/>
        </w:tcPr>
        <w:p w14:paraId="19B5D3C2" w14:textId="77777777" w:rsidR="003E3091" w:rsidRPr="00FF4480" w:rsidRDefault="003E3091" w:rsidP="00136551">
          <w:pPr>
            <w:jc w:val="center"/>
            <w:rPr>
              <w:rFonts w:ascii="Times New Roman" w:hAnsi="Times New Roman" w:cs="Times New Roman"/>
              <w:sz w:val="20"/>
            </w:rPr>
          </w:pPr>
          <w:r w:rsidRPr="00FF4480">
            <w:rPr>
              <w:rFonts w:ascii="Times New Roman" w:hAnsi="Times New Roman" w:cs="Times New Roman"/>
              <w:b/>
              <w:sz w:val="20"/>
            </w:rPr>
            <w:t>Lp</w:t>
          </w:r>
          <w:r w:rsidRPr="00FF4480">
            <w:rPr>
              <w:rFonts w:ascii="Times New Roman" w:hAnsi="Times New Roman" w:cs="Times New Roman"/>
              <w:sz w:val="20"/>
            </w:rPr>
            <w:t>.</w:t>
          </w:r>
        </w:p>
      </w:tc>
      <w:tc>
        <w:tcPr>
          <w:tcW w:w="1931" w:type="dxa"/>
          <w:vAlign w:val="center"/>
        </w:tcPr>
        <w:p w14:paraId="6F8982D4" w14:textId="3EE6CBD4" w:rsidR="003E3091" w:rsidRPr="00FF4480" w:rsidRDefault="005D7262" w:rsidP="006F59A9">
          <w:pPr>
            <w:spacing w:after="60"/>
            <w:jc w:val="center"/>
            <w:rPr>
              <w:rFonts w:ascii="Times New Roman" w:hAnsi="Times New Roman" w:cs="Times New Roman"/>
              <w:b/>
              <w:bCs/>
              <w:sz w:val="20"/>
            </w:rPr>
          </w:pPr>
          <w:r>
            <w:rPr>
              <w:rFonts w:ascii="Times New Roman" w:hAnsi="Times New Roman" w:cs="Times New Roman"/>
              <w:b/>
              <w:bCs/>
              <w:sz w:val="20"/>
            </w:rPr>
            <w:t>Podmiot</w:t>
          </w:r>
          <w:r w:rsidR="003E3091">
            <w:rPr>
              <w:rFonts w:ascii="Times New Roman" w:hAnsi="Times New Roman" w:cs="Times New Roman"/>
              <w:b/>
              <w:bCs/>
              <w:sz w:val="20"/>
            </w:rPr>
            <w:t xml:space="preserve"> zgłaszając</w:t>
          </w:r>
          <w:r>
            <w:rPr>
              <w:rFonts w:ascii="Times New Roman" w:hAnsi="Times New Roman" w:cs="Times New Roman"/>
              <w:b/>
              <w:bCs/>
              <w:sz w:val="20"/>
            </w:rPr>
            <w:t>y</w:t>
          </w:r>
          <w:r w:rsidR="003E3091">
            <w:rPr>
              <w:rFonts w:ascii="Times New Roman" w:hAnsi="Times New Roman" w:cs="Times New Roman"/>
              <w:b/>
              <w:bCs/>
              <w:sz w:val="20"/>
            </w:rPr>
            <w:t xml:space="preserve"> uwagę</w:t>
          </w:r>
        </w:p>
      </w:tc>
      <w:tc>
        <w:tcPr>
          <w:tcW w:w="1876" w:type="dxa"/>
          <w:vAlign w:val="center"/>
        </w:tcPr>
        <w:p w14:paraId="096CF88E" w14:textId="77777777" w:rsidR="003E3091" w:rsidRPr="00E738A5" w:rsidRDefault="003E3091" w:rsidP="00136551">
          <w:pPr>
            <w:jc w:val="center"/>
            <w:rPr>
              <w:rFonts w:ascii="Times New Roman" w:hAnsi="Times New Roman" w:cs="Times New Roman"/>
              <w:sz w:val="16"/>
              <w:szCs w:val="16"/>
            </w:rPr>
          </w:pPr>
          <w:r w:rsidRPr="00E738A5">
            <w:rPr>
              <w:rFonts w:ascii="Times New Roman" w:hAnsi="Times New Roman" w:cs="Times New Roman"/>
              <w:b/>
              <w:bCs/>
              <w:sz w:val="16"/>
              <w:szCs w:val="16"/>
            </w:rPr>
            <w:t xml:space="preserve">Jednostka redakcyjna </w:t>
          </w:r>
          <w:r w:rsidRPr="00E738A5">
            <w:rPr>
              <w:rFonts w:ascii="Times New Roman" w:hAnsi="Times New Roman" w:cs="Times New Roman"/>
              <w:b/>
              <w:bCs/>
              <w:sz w:val="16"/>
              <w:szCs w:val="16"/>
            </w:rPr>
            <w:br/>
            <w:t>Str</w:t>
          </w:r>
          <w:r>
            <w:rPr>
              <w:rFonts w:ascii="Times New Roman" w:hAnsi="Times New Roman" w:cs="Times New Roman"/>
              <w:b/>
              <w:bCs/>
              <w:sz w:val="16"/>
              <w:szCs w:val="16"/>
            </w:rPr>
            <w:t>ona</w:t>
          </w:r>
          <w:r w:rsidRPr="00E738A5">
            <w:rPr>
              <w:rFonts w:ascii="Times New Roman" w:hAnsi="Times New Roman" w:cs="Times New Roman"/>
              <w:b/>
              <w:bCs/>
              <w:sz w:val="16"/>
              <w:szCs w:val="16"/>
            </w:rPr>
            <w:t xml:space="preserve"> uzasadnienia</w:t>
          </w:r>
          <w:r>
            <w:rPr>
              <w:rFonts w:ascii="Times New Roman" w:hAnsi="Times New Roman" w:cs="Times New Roman"/>
              <w:b/>
              <w:bCs/>
              <w:sz w:val="16"/>
              <w:szCs w:val="16"/>
            </w:rPr>
            <w:br/>
          </w:r>
          <w:r w:rsidRPr="00E738A5">
            <w:rPr>
              <w:rFonts w:ascii="Times New Roman" w:hAnsi="Times New Roman" w:cs="Times New Roman"/>
              <w:b/>
              <w:bCs/>
              <w:sz w:val="16"/>
              <w:szCs w:val="16"/>
            </w:rPr>
            <w:t>Pkt OSR</w:t>
          </w:r>
        </w:p>
      </w:tc>
      <w:tc>
        <w:tcPr>
          <w:tcW w:w="5670" w:type="dxa"/>
          <w:vAlign w:val="center"/>
        </w:tcPr>
        <w:p w14:paraId="348804AD" w14:textId="77777777" w:rsidR="003E3091" w:rsidRPr="00E35677" w:rsidRDefault="003E3091" w:rsidP="00136551">
          <w:pPr>
            <w:jc w:val="center"/>
            <w:rPr>
              <w:rFonts w:ascii="Times New Roman" w:hAnsi="Times New Roman" w:cs="Times New Roman"/>
              <w:sz w:val="20"/>
            </w:rPr>
          </w:pPr>
          <w:r>
            <w:rPr>
              <w:rFonts w:ascii="Times New Roman" w:hAnsi="Times New Roman" w:cs="Times New Roman"/>
              <w:b/>
              <w:bCs/>
              <w:sz w:val="20"/>
            </w:rPr>
            <w:t>Treść uwagi / Propozycja zapisu</w:t>
          </w:r>
        </w:p>
      </w:tc>
      <w:tc>
        <w:tcPr>
          <w:tcW w:w="4189" w:type="dxa"/>
        </w:tcPr>
        <w:p w14:paraId="61283750" w14:textId="77777777" w:rsidR="003E3091" w:rsidRDefault="003E3091" w:rsidP="00136551">
          <w:pPr>
            <w:jc w:val="center"/>
            <w:rPr>
              <w:rFonts w:ascii="Times New Roman" w:hAnsi="Times New Roman" w:cs="Times New Roman"/>
              <w:b/>
              <w:bCs/>
              <w:i/>
              <w:sz w:val="20"/>
            </w:rPr>
          </w:pPr>
        </w:p>
        <w:p w14:paraId="5EDEE96D" w14:textId="67584F3A" w:rsidR="003E3091" w:rsidRPr="00E35677" w:rsidRDefault="003E3091" w:rsidP="00136551">
          <w:pPr>
            <w:jc w:val="center"/>
            <w:rPr>
              <w:rFonts w:ascii="Times New Roman" w:hAnsi="Times New Roman" w:cs="Times New Roman"/>
              <w:b/>
              <w:bCs/>
              <w:sz w:val="20"/>
            </w:rPr>
          </w:pPr>
          <w:r>
            <w:rPr>
              <w:rFonts w:ascii="Times New Roman" w:hAnsi="Times New Roman" w:cs="Times New Roman"/>
              <w:b/>
              <w:bCs/>
              <w:sz w:val="20"/>
            </w:rPr>
            <w:t>Stanowisko M</w:t>
          </w:r>
          <w:r w:rsidR="005D7262">
            <w:rPr>
              <w:rFonts w:ascii="Times New Roman" w:hAnsi="Times New Roman" w:cs="Times New Roman"/>
              <w:b/>
              <w:bCs/>
              <w:sz w:val="20"/>
            </w:rPr>
            <w:t>inistra Rozwoju i Technologii</w:t>
          </w:r>
        </w:p>
      </w:tc>
    </w:tr>
  </w:tbl>
  <w:p w14:paraId="3475C7EA" w14:textId="77777777" w:rsidR="003E3091" w:rsidRDefault="003E309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F4422"/>
    <w:multiLevelType w:val="hybridMultilevel"/>
    <w:tmpl w:val="1EA4D2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88200D8"/>
    <w:multiLevelType w:val="hybridMultilevel"/>
    <w:tmpl w:val="12C21CB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ADB3421"/>
    <w:multiLevelType w:val="hybridMultilevel"/>
    <w:tmpl w:val="3F3C3062"/>
    <w:lvl w:ilvl="0" w:tplc="0415000F">
      <w:start w:val="1"/>
      <w:numFmt w:val="decimal"/>
      <w:lvlText w:val="%1."/>
      <w:lvlJc w:val="left"/>
      <w:pPr>
        <w:ind w:left="78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E1F69C8"/>
    <w:multiLevelType w:val="hybridMultilevel"/>
    <w:tmpl w:val="401489DE"/>
    <w:lvl w:ilvl="0" w:tplc="2408B1AA">
      <w:start w:val="2"/>
      <w:numFmt w:val="decimal"/>
      <w:lvlText w:val="%1)"/>
      <w:lvlJc w:val="left"/>
      <w:pPr>
        <w:ind w:left="696" w:hanging="360"/>
      </w:pPr>
      <w:rPr>
        <w:rFonts w:hint="default"/>
      </w:rPr>
    </w:lvl>
    <w:lvl w:ilvl="1" w:tplc="04150019" w:tentative="1">
      <w:start w:val="1"/>
      <w:numFmt w:val="lowerLetter"/>
      <w:lvlText w:val="%2."/>
      <w:lvlJc w:val="left"/>
      <w:pPr>
        <w:ind w:left="1416" w:hanging="360"/>
      </w:pPr>
    </w:lvl>
    <w:lvl w:ilvl="2" w:tplc="0415001B" w:tentative="1">
      <w:start w:val="1"/>
      <w:numFmt w:val="lowerRoman"/>
      <w:lvlText w:val="%3."/>
      <w:lvlJc w:val="right"/>
      <w:pPr>
        <w:ind w:left="2136" w:hanging="180"/>
      </w:pPr>
    </w:lvl>
    <w:lvl w:ilvl="3" w:tplc="0415000F" w:tentative="1">
      <w:start w:val="1"/>
      <w:numFmt w:val="decimal"/>
      <w:lvlText w:val="%4."/>
      <w:lvlJc w:val="left"/>
      <w:pPr>
        <w:ind w:left="2856" w:hanging="360"/>
      </w:pPr>
    </w:lvl>
    <w:lvl w:ilvl="4" w:tplc="04150019" w:tentative="1">
      <w:start w:val="1"/>
      <w:numFmt w:val="lowerLetter"/>
      <w:lvlText w:val="%5."/>
      <w:lvlJc w:val="left"/>
      <w:pPr>
        <w:ind w:left="3576" w:hanging="360"/>
      </w:pPr>
    </w:lvl>
    <w:lvl w:ilvl="5" w:tplc="0415001B" w:tentative="1">
      <w:start w:val="1"/>
      <w:numFmt w:val="lowerRoman"/>
      <w:lvlText w:val="%6."/>
      <w:lvlJc w:val="right"/>
      <w:pPr>
        <w:ind w:left="4296" w:hanging="180"/>
      </w:pPr>
    </w:lvl>
    <w:lvl w:ilvl="6" w:tplc="0415000F" w:tentative="1">
      <w:start w:val="1"/>
      <w:numFmt w:val="decimal"/>
      <w:lvlText w:val="%7."/>
      <w:lvlJc w:val="left"/>
      <w:pPr>
        <w:ind w:left="5016" w:hanging="360"/>
      </w:pPr>
    </w:lvl>
    <w:lvl w:ilvl="7" w:tplc="04150019" w:tentative="1">
      <w:start w:val="1"/>
      <w:numFmt w:val="lowerLetter"/>
      <w:lvlText w:val="%8."/>
      <w:lvlJc w:val="left"/>
      <w:pPr>
        <w:ind w:left="5736" w:hanging="360"/>
      </w:pPr>
    </w:lvl>
    <w:lvl w:ilvl="8" w:tplc="0415001B" w:tentative="1">
      <w:start w:val="1"/>
      <w:numFmt w:val="lowerRoman"/>
      <w:lvlText w:val="%9."/>
      <w:lvlJc w:val="right"/>
      <w:pPr>
        <w:ind w:left="6456" w:hanging="180"/>
      </w:pPr>
    </w:lvl>
  </w:abstractNum>
  <w:abstractNum w:abstractNumId="4" w15:restartNumberingAfterBreak="0">
    <w:nsid w:val="136B302D"/>
    <w:multiLevelType w:val="hybridMultilevel"/>
    <w:tmpl w:val="BC627D44"/>
    <w:lvl w:ilvl="0" w:tplc="55D0A6A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 w15:restartNumberingAfterBreak="0">
    <w:nsid w:val="1784680D"/>
    <w:multiLevelType w:val="hybridMultilevel"/>
    <w:tmpl w:val="2BB4171C"/>
    <w:lvl w:ilvl="0" w:tplc="BAE6A3BE">
      <w:start w:val="1"/>
      <w:numFmt w:val="decimal"/>
      <w:lvlText w:val="%1)"/>
      <w:lvlJc w:val="left"/>
      <w:pPr>
        <w:ind w:left="336" w:hanging="360"/>
      </w:pPr>
      <w:rPr>
        <w:rFonts w:hint="default"/>
      </w:rPr>
    </w:lvl>
    <w:lvl w:ilvl="1" w:tplc="04150019" w:tentative="1">
      <w:start w:val="1"/>
      <w:numFmt w:val="lowerLetter"/>
      <w:lvlText w:val="%2."/>
      <w:lvlJc w:val="left"/>
      <w:pPr>
        <w:ind w:left="1056" w:hanging="360"/>
      </w:pPr>
    </w:lvl>
    <w:lvl w:ilvl="2" w:tplc="0415001B" w:tentative="1">
      <w:start w:val="1"/>
      <w:numFmt w:val="lowerRoman"/>
      <w:lvlText w:val="%3."/>
      <w:lvlJc w:val="right"/>
      <w:pPr>
        <w:ind w:left="1776" w:hanging="180"/>
      </w:pPr>
    </w:lvl>
    <w:lvl w:ilvl="3" w:tplc="0415000F" w:tentative="1">
      <w:start w:val="1"/>
      <w:numFmt w:val="decimal"/>
      <w:lvlText w:val="%4."/>
      <w:lvlJc w:val="left"/>
      <w:pPr>
        <w:ind w:left="2496" w:hanging="360"/>
      </w:pPr>
    </w:lvl>
    <w:lvl w:ilvl="4" w:tplc="04150019" w:tentative="1">
      <w:start w:val="1"/>
      <w:numFmt w:val="lowerLetter"/>
      <w:lvlText w:val="%5."/>
      <w:lvlJc w:val="left"/>
      <w:pPr>
        <w:ind w:left="3216" w:hanging="360"/>
      </w:pPr>
    </w:lvl>
    <w:lvl w:ilvl="5" w:tplc="0415001B" w:tentative="1">
      <w:start w:val="1"/>
      <w:numFmt w:val="lowerRoman"/>
      <w:lvlText w:val="%6."/>
      <w:lvlJc w:val="right"/>
      <w:pPr>
        <w:ind w:left="3936" w:hanging="180"/>
      </w:pPr>
    </w:lvl>
    <w:lvl w:ilvl="6" w:tplc="0415000F" w:tentative="1">
      <w:start w:val="1"/>
      <w:numFmt w:val="decimal"/>
      <w:lvlText w:val="%7."/>
      <w:lvlJc w:val="left"/>
      <w:pPr>
        <w:ind w:left="4656" w:hanging="360"/>
      </w:pPr>
    </w:lvl>
    <w:lvl w:ilvl="7" w:tplc="04150019" w:tentative="1">
      <w:start w:val="1"/>
      <w:numFmt w:val="lowerLetter"/>
      <w:lvlText w:val="%8."/>
      <w:lvlJc w:val="left"/>
      <w:pPr>
        <w:ind w:left="5376" w:hanging="360"/>
      </w:pPr>
    </w:lvl>
    <w:lvl w:ilvl="8" w:tplc="0415001B" w:tentative="1">
      <w:start w:val="1"/>
      <w:numFmt w:val="lowerRoman"/>
      <w:lvlText w:val="%9."/>
      <w:lvlJc w:val="right"/>
      <w:pPr>
        <w:ind w:left="6096" w:hanging="180"/>
      </w:pPr>
    </w:lvl>
  </w:abstractNum>
  <w:abstractNum w:abstractNumId="6" w15:restartNumberingAfterBreak="0">
    <w:nsid w:val="1F484FB4"/>
    <w:multiLevelType w:val="hybridMultilevel"/>
    <w:tmpl w:val="49FA505E"/>
    <w:lvl w:ilvl="0" w:tplc="8B141934">
      <w:start w:val="20"/>
      <w:numFmt w:val="decimal"/>
      <w:lvlText w:val="%1"/>
      <w:lvlJc w:val="left"/>
      <w:pPr>
        <w:ind w:left="696" w:hanging="360"/>
      </w:pPr>
      <w:rPr>
        <w:rFonts w:hint="default"/>
      </w:rPr>
    </w:lvl>
    <w:lvl w:ilvl="1" w:tplc="04150019" w:tentative="1">
      <w:start w:val="1"/>
      <w:numFmt w:val="lowerLetter"/>
      <w:lvlText w:val="%2."/>
      <w:lvlJc w:val="left"/>
      <w:pPr>
        <w:ind w:left="1416" w:hanging="360"/>
      </w:pPr>
    </w:lvl>
    <w:lvl w:ilvl="2" w:tplc="0415001B" w:tentative="1">
      <w:start w:val="1"/>
      <w:numFmt w:val="lowerRoman"/>
      <w:lvlText w:val="%3."/>
      <w:lvlJc w:val="right"/>
      <w:pPr>
        <w:ind w:left="2136" w:hanging="180"/>
      </w:pPr>
    </w:lvl>
    <w:lvl w:ilvl="3" w:tplc="0415000F" w:tentative="1">
      <w:start w:val="1"/>
      <w:numFmt w:val="decimal"/>
      <w:lvlText w:val="%4."/>
      <w:lvlJc w:val="left"/>
      <w:pPr>
        <w:ind w:left="2856" w:hanging="360"/>
      </w:pPr>
    </w:lvl>
    <w:lvl w:ilvl="4" w:tplc="04150019" w:tentative="1">
      <w:start w:val="1"/>
      <w:numFmt w:val="lowerLetter"/>
      <w:lvlText w:val="%5."/>
      <w:lvlJc w:val="left"/>
      <w:pPr>
        <w:ind w:left="3576" w:hanging="360"/>
      </w:pPr>
    </w:lvl>
    <w:lvl w:ilvl="5" w:tplc="0415001B" w:tentative="1">
      <w:start w:val="1"/>
      <w:numFmt w:val="lowerRoman"/>
      <w:lvlText w:val="%6."/>
      <w:lvlJc w:val="right"/>
      <w:pPr>
        <w:ind w:left="4296" w:hanging="180"/>
      </w:pPr>
    </w:lvl>
    <w:lvl w:ilvl="6" w:tplc="0415000F" w:tentative="1">
      <w:start w:val="1"/>
      <w:numFmt w:val="decimal"/>
      <w:lvlText w:val="%7."/>
      <w:lvlJc w:val="left"/>
      <w:pPr>
        <w:ind w:left="5016" w:hanging="360"/>
      </w:pPr>
    </w:lvl>
    <w:lvl w:ilvl="7" w:tplc="04150019" w:tentative="1">
      <w:start w:val="1"/>
      <w:numFmt w:val="lowerLetter"/>
      <w:lvlText w:val="%8."/>
      <w:lvlJc w:val="left"/>
      <w:pPr>
        <w:ind w:left="5736" w:hanging="360"/>
      </w:pPr>
    </w:lvl>
    <w:lvl w:ilvl="8" w:tplc="0415001B" w:tentative="1">
      <w:start w:val="1"/>
      <w:numFmt w:val="lowerRoman"/>
      <w:lvlText w:val="%9."/>
      <w:lvlJc w:val="right"/>
      <w:pPr>
        <w:ind w:left="6456" w:hanging="180"/>
      </w:pPr>
    </w:lvl>
  </w:abstractNum>
  <w:abstractNum w:abstractNumId="7" w15:restartNumberingAfterBreak="0">
    <w:nsid w:val="26011F0D"/>
    <w:multiLevelType w:val="hybridMultilevel"/>
    <w:tmpl w:val="E8BC1B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331572DA"/>
    <w:multiLevelType w:val="hybridMultilevel"/>
    <w:tmpl w:val="EE0A94B4"/>
    <w:lvl w:ilvl="0" w:tplc="0415000F">
      <w:start w:val="1"/>
      <w:numFmt w:val="decimal"/>
      <w:lvlText w:val="%1."/>
      <w:lvlJc w:val="left"/>
      <w:pPr>
        <w:ind w:left="360" w:hanging="360"/>
      </w:p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9" w15:restartNumberingAfterBreak="0">
    <w:nsid w:val="37DD6A04"/>
    <w:multiLevelType w:val="hybridMultilevel"/>
    <w:tmpl w:val="B17C7D64"/>
    <w:lvl w:ilvl="0" w:tplc="0415000F">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452E4ADB"/>
    <w:multiLevelType w:val="hybridMultilevel"/>
    <w:tmpl w:val="12C21C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53DD0B2E"/>
    <w:multiLevelType w:val="hybridMultilevel"/>
    <w:tmpl w:val="222087AA"/>
    <w:lvl w:ilvl="0" w:tplc="0415000F">
      <w:start w:val="1"/>
      <w:numFmt w:val="decimal"/>
      <w:lvlText w:val="%1."/>
      <w:lvlJc w:val="left"/>
      <w:pPr>
        <w:ind w:left="643"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A800F7F"/>
    <w:multiLevelType w:val="hybridMultilevel"/>
    <w:tmpl w:val="EE0A94B4"/>
    <w:lvl w:ilvl="0" w:tplc="0415000F">
      <w:start w:val="1"/>
      <w:numFmt w:val="decimal"/>
      <w:lvlText w:val="%1."/>
      <w:lvlJc w:val="left"/>
      <w:pPr>
        <w:ind w:left="360" w:hanging="360"/>
      </w:p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13" w15:restartNumberingAfterBreak="0">
    <w:nsid w:val="6C7109D4"/>
    <w:multiLevelType w:val="hybridMultilevel"/>
    <w:tmpl w:val="F4C82F44"/>
    <w:lvl w:ilvl="0" w:tplc="BBC653A2">
      <w:start w:val="1"/>
      <w:numFmt w:val="decimal"/>
      <w:lvlText w:val="%1)"/>
      <w:lvlJc w:val="left"/>
      <w:pPr>
        <w:ind w:left="321" w:hanging="360"/>
      </w:pPr>
      <w:rPr>
        <w:rFonts w:hint="default"/>
        <w:color w:val="000000" w:themeColor="text1"/>
      </w:rPr>
    </w:lvl>
    <w:lvl w:ilvl="1" w:tplc="04150019" w:tentative="1">
      <w:start w:val="1"/>
      <w:numFmt w:val="lowerLetter"/>
      <w:lvlText w:val="%2."/>
      <w:lvlJc w:val="left"/>
      <w:pPr>
        <w:ind w:left="1041" w:hanging="360"/>
      </w:pPr>
    </w:lvl>
    <w:lvl w:ilvl="2" w:tplc="0415001B" w:tentative="1">
      <w:start w:val="1"/>
      <w:numFmt w:val="lowerRoman"/>
      <w:lvlText w:val="%3."/>
      <w:lvlJc w:val="right"/>
      <w:pPr>
        <w:ind w:left="1761" w:hanging="180"/>
      </w:pPr>
    </w:lvl>
    <w:lvl w:ilvl="3" w:tplc="0415000F" w:tentative="1">
      <w:start w:val="1"/>
      <w:numFmt w:val="decimal"/>
      <w:lvlText w:val="%4."/>
      <w:lvlJc w:val="left"/>
      <w:pPr>
        <w:ind w:left="2481" w:hanging="360"/>
      </w:pPr>
    </w:lvl>
    <w:lvl w:ilvl="4" w:tplc="04150019" w:tentative="1">
      <w:start w:val="1"/>
      <w:numFmt w:val="lowerLetter"/>
      <w:lvlText w:val="%5."/>
      <w:lvlJc w:val="left"/>
      <w:pPr>
        <w:ind w:left="3201" w:hanging="360"/>
      </w:pPr>
    </w:lvl>
    <w:lvl w:ilvl="5" w:tplc="0415001B" w:tentative="1">
      <w:start w:val="1"/>
      <w:numFmt w:val="lowerRoman"/>
      <w:lvlText w:val="%6."/>
      <w:lvlJc w:val="right"/>
      <w:pPr>
        <w:ind w:left="3921" w:hanging="180"/>
      </w:pPr>
    </w:lvl>
    <w:lvl w:ilvl="6" w:tplc="0415000F" w:tentative="1">
      <w:start w:val="1"/>
      <w:numFmt w:val="decimal"/>
      <w:lvlText w:val="%7."/>
      <w:lvlJc w:val="left"/>
      <w:pPr>
        <w:ind w:left="4641" w:hanging="360"/>
      </w:pPr>
    </w:lvl>
    <w:lvl w:ilvl="7" w:tplc="04150019" w:tentative="1">
      <w:start w:val="1"/>
      <w:numFmt w:val="lowerLetter"/>
      <w:lvlText w:val="%8."/>
      <w:lvlJc w:val="left"/>
      <w:pPr>
        <w:ind w:left="5361" w:hanging="360"/>
      </w:pPr>
    </w:lvl>
    <w:lvl w:ilvl="8" w:tplc="0415001B" w:tentative="1">
      <w:start w:val="1"/>
      <w:numFmt w:val="lowerRoman"/>
      <w:lvlText w:val="%9."/>
      <w:lvlJc w:val="right"/>
      <w:pPr>
        <w:ind w:left="6081" w:hanging="180"/>
      </w:pPr>
    </w:lvl>
  </w:abstractNum>
  <w:abstractNum w:abstractNumId="14" w15:restartNumberingAfterBreak="0">
    <w:nsid w:val="72253848"/>
    <w:multiLevelType w:val="hybridMultilevel"/>
    <w:tmpl w:val="8F10F6AE"/>
    <w:lvl w:ilvl="0" w:tplc="C7B04F10">
      <w:start w:val="2"/>
      <w:numFmt w:val="decimal"/>
      <w:lvlText w:val="%1)"/>
      <w:lvlJc w:val="left"/>
      <w:pPr>
        <w:ind w:left="336" w:hanging="360"/>
      </w:pPr>
      <w:rPr>
        <w:rFonts w:hint="default"/>
      </w:rPr>
    </w:lvl>
    <w:lvl w:ilvl="1" w:tplc="04150019" w:tentative="1">
      <w:start w:val="1"/>
      <w:numFmt w:val="lowerLetter"/>
      <w:lvlText w:val="%2."/>
      <w:lvlJc w:val="left"/>
      <w:pPr>
        <w:ind w:left="1056" w:hanging="360"/>
      </w:pPr>
    </w:lvl>
    <w:lvl w:ilvl="2" w:tplc="0415001B" w:tentative="1">
      <w:start w:val="1"/>
      <w:numFmt w:val="lowerRoman"/>
      <w:lvlText w:val="%3."/>
      <w:lvlJc w:val="right"/>
      <w:pPr>
        <w:ind w:left="1776" w:hanging="180"/>
      </w:pPr>
    </w:lvl>
    <w:lvl w:ilvl="3" w:tplc="0415000F" w:tentative="1">
      <w:start w:val="1"/>
      <w:numFmt w:val="decimal"/>
      <w:lvlText w:val="%4."/>
      <w:lvlJc w:val="left"/>
      <w:pPr>
        <w:ind w:left="2496" w:hanging="360"/>
      </w:pPr>
    </w:lvl>
    <w:lvl w:ilvl="4" w:tplc="04150019" w:tentative="1">
      <w:start w:val="1"/>
      <w:numFmt w:val="lowerLetter"/>
      <w:lvlText w:val="%5."/>
      <w:lvlJc w:val="left"/>
      <w:pPr>
        <w:ind w:left="3216" w:hanging="360"/>
      </w:pPr>
    </w:lvl>
    <w:lvl w:ilvl="5" w:tplc="0415001B" w:tentative="1">
      <w:start w:val="1"/>
      <w:numFmt w:val="lowerRoman"/>
      <w:lvlText w:val="%6."/>
      <w:lvlJc w:val="right"/>
      <w:pPr>
        <w:ind w:left="3936" w:hanging="180"/>
      </w:pPr>
    </w:lvl>
    <w:lvl w:ilvl="6" w:tplc="0415000F" w:tentative="1">
      <w:start w:val="1"/>
      <w:numFmt w:val="decimal"/>
      <w:lvlText w:val="%7."/>
      <w:lvlJc w:val="left"/>
      <w:pPr>
        <w:ind w:left="4656" w:hanging="360"/>
      </w:pPr>
    </w:lvl>
    <w:lvl w:ilvl="7" w:tplc="04150019" w:tentative="1">
      <w:start w:val="1"/>
      <w:numFmt w:val="lowerLetter"/>
      <w:lvlText w:val="%8."/>
      <w:lvlJc w:val="left"/>
      <w:pPr>
        <w:ind w:left="5376" w:hanging="360"/>
      </w:pPr>
    </w:lvl>
    <w:lvl w:ilvl="8" w:tplc="0415001B" w:tentative="1">
      <w:start w:val="1"/>
      <w:numFmt w:val="lowerRoman"/>
      <w:lvlText w:val="%9."/>
      <w:lvlJc w:val="right"/>
      <w:pPr>
        <w:ind w:left="6096" w:hanging="180"/>
      </w:pPr>
    </w:lvl>
  </w:abstractNum>
  <w:abstractNum w:abstractNumId="15" w15:restartNumberingAfterBreak="0">
    <w:nsid w:val="748728D5"/>
    <w:multiLevelType w:val="hybridMultilevel"/>
    <w:tmpl w:val="7EF4EC6A"/>
    <w:lvl w:ilvl="0" w:tplc="2572EDD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64744B3"/>
    <w:multiLevelType w:val="hybridMultilevel"/>
    <w:tmpl w:val="363600DC"/>
    <w:lvl w:ilvl="0" w:tplc="FF98001A">
      <w:start w:val="1"/>
      <w:numFmt w:val="decimal"/>
      <w:lvlText w:val="%1)"/>
      <w:lvlJc w:val="left"/>
      <w:pPr>
        <w:ind w:left="405" w:hanging="360"/>
      </w:pPr>
      <w:rPr>
        <w:rFonts w:hint="default"/>
        <w:u w:val="none"/>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7" w15:restartNumberingAfterBreak="0">
    <w:nsid w:val="76625963"/>
    <w:multiLevelType w:val="hybridMultilevel"/>
    <w:tmpl w:val="96966E9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B47264F"/>
    <w:multiLevelType w:val="hybridMultilevel"/>
    <w:tmpl w:val="222087AA"/>
    <w:lvl w:ilvl="0" w:tplc="0415000F">
      <w:start w:val="1"/>
      <w:numFmt w:val="decimal"/>
      <w:lvlText w:val="%1."/>
      <w:lvlJc w:val="left"/>
      <w:pPr>
        <w:ind w:left="643"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EC81B9E"/>
    <w:multiLevelType w:val="hybridMultilevel"/>
    <w:tmpl w:val="DAFC9EEA"/>
    <w:lvl w:ilvl="0" w:tplc="0415000F">
      <w:start w:val="1"/>
      <w:numFmt w:val="decimal"/>
      <w:lvlText w:val="%1."/>
      <w:lvlJc w:val="left"/>
      <w:pPr>
        <w:ind w:left="360" w:hanging="360"/>
      </w:p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20" w15:restartNumberingAfterBreak="0">
    <w:nsid w:val="7F802FB7"/>
    <w:multiLevelType w:val="hybridMultilevel"/>
    <w:tmpl w:val="8AAA3F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462843487">
    <w:abstractNumId w:val="5"/>
  </w:num>
  <w:num w:numId="2" w16cid:durableId="1838155714">
    <w:abstractNumId w:val="6"/>
  </w:num>
  <w:num w:numId="3" w16cid:durableId="2141998697">
    <w:abstractNumId w:val="14"/>
  </w:num>
  <w:num w:numId="4" w16cid:durableId="1164782291">
    <w:abstractNumId w:val="3"/>
  </w:num>
  <w:num w:numId="5" w16cid:durableId="1025523134">
    <w:abstractNumId w:val="16"/>
  </w:num>
  <w:num w:numId="6" w16cid:durableId="457918101">
    <w:abstractNumId w:val="13"/>
  </w:num>
  <w:num w:numId="7" w16cid:durableId="1158420454">
    <w:abstractNumId w:val="0"/>
  </w:num>
  <w:num w:numId="8" w16cid:durableId="433211943">
    <w:abstractNumId w:val="2"/>
  </w:num>
  <w:num w:numId="9" w16cid:durableId="414211013">
    <w:abstractNumId w:val="11"/>
  </w:num>
  <w:num w:numId="10" w16cid:durableId="1473718430">
    <w:abstractNumId w:val="8"/>
  </w:num>
  <w:num w:numId="11" w16cid:durableId="357587786">
    <w:abstractNumId w:val="19"/>
  </w:num>
  <w:num w:numId="12" w16cid:durableId="1986858447">
    <w:abstractNumId w:val="18"/>
  </w:num>
  <w:num w:numId="13" w16cid:durableId="78067228">
    <w:abstractNumId w:val="12"/>
  </w:num>
  <w:num w:numId="14" w16cid:durableId="866912164">
    <w:abstractNumId w:val="20"/>
  </w:num>
  <w:num w:numId="15" w16cid:durableId="1863663392">
    <w:abstractNumId w:val="9"/>
  </w:num>
  <w:num w:numId="16" w16cid:durableId="2022004039">
    <w:abstractNumId w:val="15"/>
  </w:num>
  <w:num w:numId="17" w16cid:durableId="424500130">
    <w:abstractNumId w:val="4"/>
  </w:num>
  <w:num w:numId="18" w16cid:durableId="578910534">
    <w:abstractNumId w:val="10"/>
  </w:num>
  <w:num w:numId="19" w16cid:durableId="1416702423">
    <w:abstractNumId w:val="17"/>
  </w:num>
  <w:num w:numId="20" w16cid:durableId="1588155324">
    <w:abstractNumId w:val="7"/>
  </w:num>
  <w:num w:numId="21" w16cid:durableId="21351719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157"/>
    <w:rsid w:val="000005C1"/>
    <w:rsid w:val="00001658"/>
    <w:rsid w:val="00006107"/>
    <w:rsid w:val="00012849"/>
    <w:rsid w:val="000153D6"/>
    <w:rsid w:val="00017F99"/>
    <w:rsid w:val="00021B9C"/>
    <w:rsid w:val="00030F2D"/>
    <w:rsid w:val="00032059"/>
    <w:rsid w:val="000331C3"/>
    <w:rsid w:val="0003453A"/>
    <w:rsid w:val="00035DE8"/>
    <w:rsid w:val="00036C3B"/>
    <w:rsid w:val="0004079D"/>
    <w:rsid w:val="00042723"/>
    <w:rsid w:val="00044416"/>
    <w:rsid w:val="00045179"/>
    <w:rsid w:val="000519DF"/>
    <w:rsid w:val="000562C3"/>
    <w:rsid w:val="00056E24"/>
    <w:rsid w:val="00060C73"/>
    <w:rsid w:val="00061964"/>
    <w:rsid w:val="00064994"/>
    <w:rsid w:val="00064AB2"/>
    <w:rsid w:val="00065450"/>
    <w:rsid w:val="00073C13"/>
    <w:rsid w:val="0007707B"/>
    <w:rsid w:val="000773D5"/>
    <w:rsid w:val="00082FE4"/>
    <w:rsid w:val="00083BCB"/>
    <w:rsid w:val="00084817"/>
    <w:rsid w:val="00085E2E"/>
    <w:rsid w:val="00086072"/>
    <w:rsid w:val="00087CDE"/>
    <w:rsid w:val="000911E2"/>
    <w:rsid w:val="00091D01"/>
    <w:rsid w:val="00091F2A"/>
    <w:rsid w:val="00092292"/>
    <w:rsid w:val="000A246A"/>
    <w:rsid w:val="000A3924"/>
    <w:rsid w:val="000A57CE"/>
    <w:rsid w:val="000A5D92"/>
    <w:rsid w:val="000A7202"/>
    <w:rsid w:val="000A7404"/>
    <w:rsid w:val="000A75DB"/>
    <w:rsid w:val="000B0428"/>
    <w:rsid w:val="000B1157"/>
    <w:rsid w:val="000B19B1"/>
    <w:rsid w:val="000B346A"/>
    <w:rsid w:val="000B38B2"/>
    <w:rsid w:val="000B46EE"/>
    <w:rsid w:val="000B4D66"/>
    <w:rsid w:val="000B5625"/>
    <w:rsid w:val="000C1A71"/>
    <w:rsid w:val="000C2320"/>
    <w:rsid w:val="000C2E71"/>
    <w:rsid w:val="000C4F4E"/>
    <w:rsid w:val="000C5722"/>
    <w:rsid w:val="000C6324"/>
    <w:rsid w:val="000D1779"/>
    <w:rsid w:val="000E1657"/>
    <w:rsid w:val="000F0F85"/>
    <w:rsid w:val="000F4A83"/>
    <w:rsid w:val="000F5B9B"/>
    <w:rsid w:val="001005CF"/>
    <w:rsid w:val="001033F8"/>
    <w:rsid w:val="001057A6"/>
    <w:rsid w:val="001107D0"/>
    <w:rsid w:val="0011342D"/>
    <w:rsid w:val="00115554"/>
    <w:rsid w:val="00116862"/>
    <w:rsid w:val="001168E1"/>
    <w:rsid w:val="00116C0C"/>
    <w:rsid w:val="00117021"/>
    <w:rsid w:val="00124576"/>
    <w:rsid w:val="00125057"/>
    <w:rsid w:val="001252D7"/>
    <w:rsid w:val="001265CD"/>
    <w:rsid w:val="00127549"/>
    <w:rsid w:val="00132B31"/>
    <w:rsid w:val="001347D9"/>
    <w:rsid w:val="00134FB4"/>
    <w:rsid w:val="00135459"/>
    <w:rsid w:val="00135D4D"/>
    <w:rsid w:val="00136551"/>
    <w:rsid w:val="00136857"/>
    <w:rsid w:val="00137320"/>
    <w:rsid w:val="00140448"/>
    <w:rsid w:val="001406D1"/>
    <w:rsid w:val="00141978"/>
    <w:rsid w:val="00142B55"/>
    <w:rsid w:val="001434A3"/>
    <w:rsid w:val="00146259"/>
    <w:rsid w:val="00150F09"/>
    <w:rsid w:val="00151968"/>
    <w:rsid w:val="001531A9"/>
    <w:rsid w:val="00153675"/>
    <w:rsid w:val="00153ECC"/>
    <w:rsid w:val="00161E3B"/>
    <w:rsid w:val="001707EF"/>
    <w:rsid w:val="0017103A"/>
    <w:rsid w:val="0017346C"/>
    <w:rsid w:val="00174C86"/>
    <w:rsid w:val="00175BB7"/>
    <w:rsid w:val="00177EC3"/>
    <w:rsid w:val="00182026"/>
    <w:rsid w:val="0018335A"/>
    <w:rsid w:val="0018336D"/>
    <w:rsid w:val="001839BB"/>
    <w:rsid w:val="001839D2"/>
    <w:rsid w:val="00191016"/>
    <w:rsid w:val="00192343"/>
    <w:rsid w:val="001A17BA"/>
    <w:rsid w:val="001A4AE4"/>
    <w:rsid w:val="001B1425"/>
    <w:rsid w:val="001B600D"/>
    <w:rsid w:val="001C1432"/>
    <w:rsid w:val="001C17C4"/>
    <w:rsid w:val="001C20C0"/>
    <w:rsid w:val="001C2C64"/>
    <w:rsid w:val="001D0014"/>
    <w:rsid w:val="001D2967"/>
    <w:rsid w:val="001D2F00"/>
    <w:rsid w:val="001D30B6"/>
    <w:rsid w:val="001D4654"/>
    <w:rsid w:val="001D7E72"/>
    <w:rsid w:val="001E01AE"/>
    <w:rsid w:val="001E0789"/>
    <w:rsid w:val="001E0F7C"/>
    <w:rsid w:val="001E2B60"/>
    <w:rsid w:val="001E4865"/>
    <w:rsid w:val="001E58F5"/>
    <w:rsid w:val="001E7154"/>
    <w:rsid w:val="001F0431"/>
    <w:rsid w:val="001F3A0F"/>
    <w:rsid w:val="001F43DC"/>
    <w:rsid w:val="001F780B"/>
    <w:rsid w:val="001F7E61"/>
    <w:rsid w:val="002074DB"/>
    <w:rsid w:val="002127C5"/>
    <w:rsid w:val="00212B52"/>
    <w:rsid w:val="00216671"/>
    <w:rsid w:val="00216FD0"/>
    <w:rsid w:val="00220039"/>
    <w:rsid w:val="00220AD8"/>
    <w:rsid w:val="002244C0"/>
    <w:rsid w:val="00225FB4"/>
    <w:rsid w:val="002276CC"/>
    <w:rsid w:val="0023394B"/>
    <w:rsid w:val="00233BDA"/>
    <w:rsid w:val="00236CE5"/>
    <w:rsid w:val="00237455"/>
    <w:rsid w:val="0024204D"/>
    <w:rsid w:val="00242233"/>
    <w:rsid w:val="00244D5F"/>
    <w:rsid w:val="00245EAB"/>
    <w:rsid w:val="002465DD"/>
    <w:rsid w:val="002471FD"/>
    <w:rsid w:val="002472D6"/>
    <w:rsid w:val="00247963"/>
    <w:rsid w:val="002525E7"/>
    <w:rsid w:val="002553AE"/>
    <w:rsid w:val="00256D62"/>
    <w:rsid w:val="00261948"/>
    <w:rsid w:val="00263D61"/>
    <w:rsid w:val="002647E1"/>
    <w:rsid w:val="002662EA"/>
    <w:rsid w:val="00266CB2"/>
    <w:rsid w:val="00271B94"/>
    <w:rsid w:val="00272D4E"/>
    <w:rsid w:val="0027326F"/>
    <w:rsid w:val="00273882"/>
    <w:rsid w:val="00275D12"/>
    <w:rsid w:val="002814E8"/>
    <w:rsid w:val="00282BAE"/>
    <w:rsid w:val="00284CBC"/>
    <w:rsid w:val="00285FE2"/>
    <w:rsid w:val="00286323"/>
    <w:rsid w:val="00287408"/>
    <w:rsid w:val="002936DB"/>
    <w:rsid w:val="00295756"/>
    <w:rsid w:val="002962F9"/>
    <w:rsid w:val="002A264B"/>
    <w:rsid w:val="002A36BB"/>
    <w:rsid w:val="002A3908"/>
    <w:rsid w:val="002A43C8"/>
    <w:rsid w:val="002A6ED8"/>
    <w:rsid w:val="002A79BC"/>
    <w:rsid w:val="002B15EB"/>
    <w:rsid w:val="002B1A1D"/>
    <w:rsid w:val="002B488D"/>
    <w:rsid w:val="002B58C4"/>
    <w:rsid w:val="002C0576"/>
    <w:rsid w:val="002C0BA2"/>
    <w:rsid w:val="002C2C8B"/>
    <w:rsid w:val="002C3736"/>
    <w:rsid w:val="002C69E0"/>
    <w:rsid w:val="002C706A"/>
    <w:rsid w:val="002E0918"/>
    <w:rsid w:val="002E4326"/>
    <w:rsid w:val="002E51EA"/>
    <w:rsid w:val="002F0A03"/>
    <w:rsid w:val="002F302C"/>
    <w:rsid w:val="002F40D5"/>
    <w:rsid w:val="002F4A12"/>
    <w:rsid w:val="002F5BC2"/>
    <w:rsid w:val="002F6D4F"/>
    <w:rsid w:val="0030247D"/>
    <w:rsid w:val="00302A1F"/>
    <w:rsid w:val="00303C2A"/>
    <w:rsid w:val="00304BB1"/>
    <w:rsid w:val="00305DC3"/>
    <w:rsid w:val="003104BC"/>
    <w:rsid w:val="00324145"/>
    <w:rsid w:val="0032428F"/>
    <w:rsid w:val="003243F9"/>
    <w:rsid w:val="00325F83"/>
    <w:rsid w:val="00326705"/>
    <w:rsid w:val="003310D9"/>
    <w:rsid w:val="0033483E"/>
    <w:rsid w:val="00336BD4"/>
    <w:rsid w:val="0033797A"/>
    <w:rsid w:val="00341509"/>
    <w:rsid w:val="003445A4"/>
    <w:rsid w:val="00344E92"/>
    <w:rsid w:val="003451F3"/>
    <w:rsid w:val="00350E76"/>
    <w:rsid w:val="00352C7E"/>
    <w:rsid w:val="00356DB5"/>
    <w:rsid w:val="00357827"/>
    <w:rsid w:val="00357C45"/>
    <w:rsid w:val="0036137B"/>
    <w:rsid w:val="00365C96"/>
    <w:rsid w:val="003706A6"/>
    <w:rsid w:val="00371177"/>
    <w:rsid w:val="0037152E"/>
    <w:rsid w:val="00371957"/>
    <w:rsid w:val="00383D57"/>
    <w:rsid w:val="00384EED"/>
    <w:rsid w:val="00385BAB"/>
    <w:rsid w:val="00390843"/>
    <w:rsid w:val="00397105"/>
    <w:rsid w:val="003A2206"/>
    <w:rsid w:val="003A2E17"/>
    <w:rsid w:val="003A430E"/>
    <w:rsid w:val="003A5280"/>
    <w:rsid w:val="003A7BCA"/>
    <w:rsid w:val="003B06EF"/>
    <w:rsid w:val="003B2669"/>
    <w:rsid w:val="003B73A1"/>
    <w:rsid w:val="003B7956"/>
    <w:rsid w:val="003B7A49"/>
    <w:rsid w:val="003C0A50"/>
    <w:rsid w:val="003C153B"/>
    <w:rsid w:val="003C1FC7"/>
    <w:rsid w:val="003C63FC"/>
    <w:rsid w:val="003C79BB"/>
    <w:rsid w:val="003D05D7"/>
    <w:rsid w:val="003D1247"/>
    <w:rsid w:val="003D3DF0"/>
    <w:rsid w:val="003D7867"/>
    <w:rsid w:val="003D7D21"/>
    <w:rsid w:val="003E1E98"/>
    <w:rsid w:val="003E3091"/>
    <w:rsid w:val="003E3315"/>
    <w:rsid w:val="003E4A44"/>
    <w:rsid w:val="003E4BC7"/>
    <w:rsid w:val="003E6E42"/>
    <w:rsid w:val="003F2ED2"/>
    <w:rsid w:val="003F480C"/>
    <w:rsid w:val="003F625F"/>
    <w:rsid w:val="00401400"/>
    <w:rsid w:val="00401B20"/>
    <w:rsid w:val="0040590B"/>
    <w:rsid w:val="00405EB8"/>
    <w:rsid w:val="00406800"/>
    <w:rsid w:val="00406A65"/>
    <w:rsid w:val="00410EDF"/>
    <w:rsid w:val="00412CB4"/>
    <w:rsid w:val="004142D9"/>
    <w:rsid w:val="00414446"/>
    <w:rsid w:val="00414796"/>
    <w:rsid w:val="00414EA2"/>
    <w:rsid w:val="00415944"/>
    <w:rsid w:val="004166E0"/>
    <w:rsid w:val="00430F3F"/>
    <w:rsid w:val="0043113C"/>
    <w:rsid w:val="0043749D"/>
    <w:rsid w:val="004376B2"/>
    <w:rsid w:val="00441EF1"/>
    <w:rsid w:val="004422BE"/>
    <w:rsid w:val="00442CB7"/>
    <w:rsid w:val="00443077"/>
    <w:rsid w:val="00444686"/>
    <w:rsid w:val="00444EEE"/>
    <w:rsid w:val="00445E97"/>
    <w:rsid w:val="00445F74"/>
    <w:rsid w:val="004461E5"/>
    <w:rsid w:val="00450877"/>
    <w:rsid w:val="004519CB"/>
    <w:rsid w:val="00452E52"/>
    <w:rsid w:val="00455ADA"/>
    <w:rsid w:val="00460B29"/>
    <w:rsid w:val="0046151F"/>
    <w:rsid w:val="00462F0E"/>
    <w:rsid w:val="00463E3B"/>
    <w:rsid w:val="00464113"/>
    <w:rsid w:val="00471C7F"/>
    <w:rsid w:val="00472AB2"/>
    <w:rsid w:val="00473F79"/>
    <w:rsid w:val="00474942"/>
    <w:rsid w:val="0047723D"/>
    <w:rsid w:val="00482EAD"/>
    <w:rsid w:val="00485047"/>
    <w:rsid w:val="00485F51"/>
    <w:rsid w:val="004914EE"/>
    <w:rsid w:val="004954AF"/>
    <w:rsid w:val="004977F7"/>
    <w:rsid w:val="004A0FC8"/>
    <w:rsid w:val="004A169C"/>
    <w:rsid w:val="004A28E0"/>
    <w:rsid w:val="004A514B"/>
    <w:rsid w:val="004A5D09"/>
    <w:rsid w:val="004A641D"/>
    <w:rsid w:val="004A747C"/>
    <w:rsid w:val="004B1DD6"/>
    <w:rsid w:val="004B3FBB"/>
    <w:rsid w:val="004C2749"/>
    <w:rsid w:val="004C4A0B"/>
    <w:rsid w:val="004C57C0"/>
    <w:rsid w:val="004C7D6E"/>
    <w:rsid w:val="004D0A0C"/>
    <w:rsid w:val="004D22E3"/>
    <w:rsid w:val="004D3B6C"/>
    <w:rsid w:val="004E0816"/>
    <w:rsid w:val="004E1AD9"/>
    <w:rsid w:val="004E660F"/>
    <w:rsid w:val="004E7B92"/>
    <w:rsid w:val="004F0157"/>
    <w:rsid w:val="004F2153"/>
    <w:rsid w:val="004F3C59"/>
    <w:rsid w:val="004F5818"/>
    <w:rsid w:val="004F6F16"/>
    <w:rsid w:val="004F7923"/>
    <w:rsid w:val="005022D6"/>
    <w:rsid w:val="00503F05"/>
    <w:rsid w:val="005059BD"/>
    <w:rsid w:val="00506E3D"/>
    <w:rsid w:val="00507775"/>
    <w:rsid w:val="00511E35"/>
    <w:rsid w:val="00512470"/>
    <w:rsid w:val="00517C03"/>
    <w:rsid w:val="00520F8D"/>
    <w:rsid w:val="00522C58"/>
    <w:rsid w:val="005242A6"/>
    <w:rsid w:val="00524640"/>
    <w:rsid w:val="00524F0F"/>
    <w:rsid w:val="005303EA"/>
    <w:rsid w:val="00530DBE"/>
    <w:rsid w:val="00532211"/>
    <w:rsid w:val="0053307C"/>
    <w:rsid w:val="005335AC"/>
    <w:rsid w:val="0053676F"/>
    <w:rsid w:val="00537F4C"/>
    <w:rsid w:val="00541256"/>
    <w:rsid w:val="005413F4"/>
    <w:rsid w:val="0054556F"/>
    <w:rsid w:val="00545CD3"/>
    <w:rsid w:val="0054760A"/>
    <w:rsid w:val="00551D1F"/>
    <w:rsid w:val="00553B6F"/>
    <w:rsid w:val="00563281"/>
    <w:rsid w:val="005643B3"/>
    <w:rsid w:val="00571063"/>
    <w:rsid w:val="0058074B"/>
    <w:rsid w:val="00582D07"/>
    <w:rsid w:val="00584F91"/>
    <w:rsid w:val="0058530C"/>
    <w:rsid w:val="00585675"/>
    <w:rsid w:val="0058614C"/>
    <w:rsid w:val="00586515"/>
    <w:rsid w:val="00586ADF"/>
    <w:rsid w:val="005873BF"/>
    <w:rsid w:val="005902EA"/>
    <w:rsid w:val="0059034F"/>
    <w:rsid w:val="00590C42"/>
    <w:rsid w:val="0059373D"/>
    <w:rsid w:val="00597C82"/>
    <w:rsid w:val="005A07ED"/>
    <w:rsid w:val="005A0A05"/>
    <w:rsid w:val="005A57D8"/>
    <w:rsid w:val="005A6C37"/>
    <w:rsid w:val="005A7570"/>
    <w:rsid w:val="005A7AD5"/>
    <w:rsid w:val="005B1B3A"/>
    <w:rsid w:val="005B3947"/>
    <w:rsid w:val="005B528B"/>
    <w:rsid w:val="005B55E5"/>
    <w:rsid w:val="005B713E"/>
    <w:rsid w:val="005C3B3D"/>
    <w:rsid w:val="005D3259"/>
    <w:rsid w:val="005D368D"/>
    <w:rsid w:val="005D3AA7"/>
    <w:rsid w:val="005D3ED2"/>
    <w:rsid w:val="005D407B"/>
    <w:rsid w:val="005D442D"/>
    <w:rsid w:val="005D68CD"/>
    <w:rsid w:val="005D7262"/>
    <w:rsid w:val="005E4D11"/>
    <w:rsid w:val="005E5871"/>
    <w:rsid w:val="005E6EEA"/>
    <w:rsid w:val="005E7B67"/>
    <w:rsid w:val="005F0013"/>
    <w:rsid w:val="005F00F5"/>
    <w:rsid w:val="005F146C"/>
    <w:rsid w:val="005F19C8"/>
    <w:rsid w:val="005F6ADD"/>
    <w:rsid w:val="00601793"/>
    <w:rsid w:val="00602E06"/>
    <w:rsid w:val="00603127"/>
    <w:rsid w:val="00606E1C"/>
    <w:rsid w:val="006101DF"/>
    <w:rsid w:val="00610C5C"/>
    <w:rsid w:val="006114EB"/>
    <w:rsid w:val="00612541"/>
    <w:rsid w:val="00614B4A"/>
    <w:rsid w:val="006160C9"/>
    <w:rsid w:val="00616801"/>
    <w:rsid w:val="00617330"/>
    <w:rsid w:val="006175B1"/>
    <w:rsid w:val="006209A1"/>
    <w:rsid w:val="00623BBC"/>
    <w:rsid w:val="00624932"/>
    <w:rsid w:val="00626795"/>
    <w:rsid w:val="006267EA"/>
    <w:rsid w:val="00630F53"/>
    <w:rsid w:val="006369CF"/>
    <w:rsid w:val="00636ADC"/>
    <w:rsid w:val="00641235"/>
    <w:rsid w:val="00641446"/>
    <w:rsid w:val="00642529"/>
    <w:rsid w:val="0064362A"/>
    <w:rsid w:val="00645AB5"/>
    <w:rsid w:val="00646957"/>
    <w:rsid w:val="00646F17"/>
    <w:rsid w:val="00647A0A"/>
    <w:rsid w:val="006507CE"/>
    <w:rsid w:val="00650E16"/>
    <w:rsid w:val="0065619E"/>
    <w:rsid w:val="00663795"/>
    <w:rsid w:val="0066689A"/>
    <w:rsid w:val="006669AD"/>
    <w:rsid w:val="006671F4"/>
    <w:rsid w:val="00671EC2"/>
    <w:rsid w:val="00672130"/>
    <w:rsid w:val="0067271E"/>
    <w:rsid w:val="006728A9"/>
    <w:rsid w:val="00674BCF"/>
    <w:rsid w:val="00674E08"/>
    <w:rsid w:val="006803EF"/>
    <w:rsid w:val="00683F45"/>
    <w:rsid w:val="0068593D"/>
    <w:rsid w:val="006864FF"/>
    <w:rsid w:val="00691E6A"/>
    <w:rsid w:val="00692039"/>
    <w:rsid w:val="0069325B"/>
    <w:rsid w:val="006A058F"/>
    <w:rsid w:val="006A26B6"/>
    <w:rsid w:val="006A41E8"/>
    <w:rsid w:val="006A6E39"/>
    <w:rsid w:val="006B0145"/>
    <w:rsid w:val="006C0B8C"/>
    <w:rsid w:val="006C2BC9"/>
    <w:rsid w:val="006C31C6"/>
    <w:rsid w:val="006C42B2"/>
    <w:rsid w:val="006D39CC"/>
    <w:rsid w:val="006E555C"/>
    <w:rsid w:val="006E603D"/>
    <w:rsid w:val="006E6AC5"/>
    <w:rsid w:val="006E7DBE"/>
    <w:rsid w:val="006F070F"/>
    <w:rsid w:val="006F0D7B"/>
    <w:rsid w:val="006F1155"/>
    <w:rsid w:val="006F3625"/>
    <w:rsid w:val="006F3FF4"/>
    <w:rsid w:val="006F41DB"/>
    <w:rsid w:val="006F447B"/>
    <w:rsid w:val="006F4E97"/>
    <w:rsid w:val="006F59A9"/>
    <w:rsid w:val="006F6137"/>
    <w:rsid w:val="006F68E9"/>
    <w:rsid w:val="006F7481"/>
    <w:rsid w:val="00700EB3"/>
    <w:rsid w:val="007018E8"/>
    <w:rsid w:val="007021B1"/>
    <w:rsid w:val="00704604"/>
    <w:rsid w:val="00704B7B"/>
    <w:rsid w:val="0071227C"/>
    <w:rsid w:val="007155F6"/>
    <w:rsid w:val="00720A6A"/>
    <w:rsid w:val="00721C84"/>
    <w:rsid w:val="00721E2E"/>
    <w:rsid w:val="00722E80"/>
    <w:rsid w:val="007277B5"/>
    <w:rsid w:val="00727E42"/>
    <w:rsid w:val="00730211"/>
    <w:rsid w:val="00730C35"/>
    <w:rsid w:val="00733D37"/>
    <w:rsid w:val="00735AA5"/>
    <w:rsid w:val="00735D9B"/>
    <w:rsid w:val="0073631A"/>
    <w:rsid w:val="007368B2"/>
    <w:rsid w:val="00741A58"/>
    <w:rsid w:val="00744B46"/>
    <w:rsid w:val="00747431"/>
    <w:rsid w:val="00751781"/>
    <w:rsid w:val="00751B0F"/>
    <w:rsid w:val="00760285"/>
    <w:rsid w:val="0076077D"/>
    <w:rsid w:val="007608E4"/>
    <w:rsid w:val="00760978"/>
    <w:rsid w:val="0076403A"/>
    <w:rsid w:val="007653FF"/>
    <w:rsid w:val="00780579"/>
    <w:rsid w:val="007816AF"/>
    <w:rsid w:val="00781B3C"/>
    <w:rsid w:val="00782C66"/>
    <w:rsid w:val="00790321"/>
    <w:rsid w:val="00793318"/>
    <w:rsid w:val="00794E8C"/>
    <w:rsid w:val="007A3E63"/>
    <w:rsid w:val="007A44D2"/>
    <w:rsid w:val="007A7EE2"/>
    <w:rsid w:val="007A7EF1"/>
    <w:rsid w:val="007B0565"/>
    <w:rsid w:val="007B48FA"/>
    <w:rsid w:val="007B568A"/>
    <w:rsid w:val="007B70AE"/>
    <w:rsid w:val="007B7CE2"/>
    <w:rsid w:val="007C052F"/>
    <w:rsid w:val="007C2B7D"/>
    <w:rsid w:val="007C5A53"/>
    <w:rsid w:val="007C5C2D"/>
    <w:rsid w:val="007D066D"/>
    <w:rsid w:val="007D2550"/>
    <w:rsid w:val="007D37BC"/>
    <w:rsid w:val="007D5047"/>
    <w:rsid w:val="007D627E"/>
    <w:rsid w:val="007D7B13"/>
    <w:rsid w:val="007D7F2A"/>
    <w:rsid w:val="007D7FF0"/>
    <w:rsid w:val="007E303F"/>
    <w:rsid w:val="007E447F"/>
    <w:rsid w:val="007E4509"/>
    <w:rsid w:val="007E4CBE"/>
    <w:rsid w:val="007E55E7"/>
    <w:rsid w:val="007F113F"/>
    <w:rsid w:val="007F39C0"/>
    <w:rsid w:val="007F3E0D"/>
    <w:rsid w:val="008039DF"/>
    <w:rsid w:val="00810796"/>
    <w:rsid w:val="0081240A"/>
    <w:rsid w:val="00813274"/>
    <w:rsid w:val="00813B8B"/>
    <w:rsid w:val="00814D58"/>
    <w:rsid w:val="0081511B"/>
    <w:rsid w:val="00816A95"/>
    <w:rsid w:val="00817696"/>
    <w:rsid w:val="00817E40"/>
    <w:rsid w:val="008201AD"/>
    <w:rsid w:val="008203CF"/>
    <w:rsid w:val="00820647"/>
    <w:rsid w:val="00822077"/>
    <w:rsid w:val="00822E3C"/>
    <w:rsid w:val="008240BC"/>
    <w:rsid w:val="00826078"/>
    <w:rsid w:val="00826128"/>
    <w:rsid w:val="00827267"/>
    <w:rsid w:val="00830132"/>
    <w:rsid w:val="00831A70"/>
    <w:rsid w:val="0083218D"/>
    <w:rsid w:val="008330CE"/>
    <w:rsid w:val="00837544"/>
    <w:rsid w:val="0084014B"/>
    <w:rsid w:val="00841CF5"/>
    <w:rsid w:val="00845D6F"/>
    <w:rsid w:val="00856FEE"/>
    <w:rsid w:val="00857532"/>
    <w:rsid w:val="008575D0"/>
    <w:rsid w:val="00857EEF"/>
    <w:rsid w:val="00860AC1"/>
    <w:rsid w:val="00863B15"/>
    <w:rsid w:val="008647C2"/>
    <w:rsid w:val="00865AF4"/>
    <w:rsid w:val="00866757"/>
    <w:rsid w:val="00866DA5"/>
    <w:rsid w:val="00872E13"/>
    <w:rsid w:val="008803A2"/>
    <w:rsid w:val="00881BD8"/>
    <w:rsid w:val="008835C8"/>
    <w:rsid w:val="008842F2"/>
    <w:rsid w:val="00884F64"/>
    <w:rsid w:val="0088796C"/>
    <w:rsid w:val="00894CD5"/>
    <w:rsid w:val="00895C04"/>
    <w:rsid w:val="008A1A3E"/>
    <w:rsid w:val="008A1B27"/>
    <w:rsid w:val="008A7D1F"/>
    <w:rsid w:val="008B087F"/>
    <w:rsid w:val="008B23A2"/>
    <w:rsid w:val="008B4A51"/>
    <w:rsid w:val="008B51D3"/>
    <w:rsid w:val="008B6F11"/>
    <w:rsid w:val="008B735E"/>
    <w:rsid w:val="008C0D27"/>
    <w:rsid w:val="008C3278"/>
    <w:rsid w:val="008C3985"/>
    <w:rsid w:val="008D14A3"/>
    <w:rsid w:val="008D1E05"/>
    <w:rsid w:val="008D4619"/>
    <w:rsid w:val="008D4AA5"/>
    <w:rsid w:val="008D5E73"/>
    <w:rsid w:val="008D6514"/>
    <w:rsid w:val="008E0313"/>
    <w:rsid w:val="008E3179"/>
    <w:rsid w:val="008E4364"/>
    <w:rsid w:val="008E671A"/>
    <w:rsid w:val="008F5F53"/>
    <w:rsid w:val="00900823"/>
    <w:rsid w:val="00900BDB"/>
    <w:rsid w:val="009039DC"/>
    <w:rsid w:val="00904135"/>
    <w:rsid w:val="00905E7D"/>
    <w:rsid w:val="00907AF7"/>
    <w:rsid w:val="00907D48"/>
    <w:rsid w:val="00907DEB"/>
    <w:rsid w:val="009131C5"/>
    <w:rsid w:val="009143D7"/>
    <w:rsid w:val="009211EE"/>
    <w:rsid w:val="009226A0"/>
    <w:rsid w:val="009238D7"/>
    <w:rsid w:val="00926FA1"/>
    <w:rsid w:val="009307C6"/>
    <w:rsid w:val="0093285B"/>
    <w:rsid w:val="00933162"/>
    <w:rsid w:val="009353B4"/>
    <w:rsid w:val="009364E6"/>
    <w:rsid w:val="00936813"/>
    <w:rsid w:val="00937D1E"/>
    <w:rsid w:val="00937D54"/>
    <w:rsid w:val="00940B07"/>
    <w:rsid w:val="00942112"/>
    <w:rsid w:val="009422ED"/>
    <w:rsid w:val="00943175"/>
    <w:rsid w:val="009437F8"/>
    <w:rsid w:val="00943895"/>
    <w:rsid w:val="0094420B"/>
    <w:rsid w:val="009445B2"/>
    <w:rsid w:val="00946D38"/>
    <w:rsid w:val="0094708D"/>
    <w:rsid w:val="00950124"/>
    <w:rsid w:val="00950347"/>
    <w:rsid w:val="00951434"/>
    <w:rsid w:val="009532CB"/>
    <w:rsid w:val="009533C4"/>
    <w:rsid w:val="00953617"/>
    <w:rsid w:val="00962679"/>
    <w:rsid w:val="00963ABC"/>
    <w:rsid w:val="00963B6A"/>
    <w:rsid w:val="0096405C"/>
    <w:rsid w:val="0096574F"/>
    <w:rsid w:val="009672B1"/>
    <w:rsid w:val="00971AC7"/>
    <w:rsid w:val="00972697"/>
    <w:rsid w:val="00973282"/>
    <w:rsid w:val="009736C7"/>
    <w:rsid w:val="00973F4B"/>
    <w:rsid w:val="00974B51"/>
    <w:rsid w:val="00975151"/>
    <w:rsid w:val="00977F69"/>
    <w:rsid w:val="00983A14"/>
    <w:rsid w:val="00984581"/>
    <w:rsid w:val="00985E57"/>
    <w:rsid w:val="00986CD5"/>
    <w:rsid w:val="009870B0"/>
    <w:rsid w:val="00987241"/>
    <w:rsid w:val="00987710"/>
    <w:rsid w:val="0099084C"/>
    <w:rsid w:val="009923E7"/>
    <w:rsid w:val="0099631C"/>
    <w:rsid w:val="009A0B03"/>
    <w:rsid w:val="009A2B29"/>
    <w:rsid w:val="009A3389"/>
    <w:rsid w:val="009A34DA"/>
    <w:rsid w:val="009A52E0"/>
    <w:rsid w:val="009A60FD"/>
    <w:rsid w:val="009B19B8"/>
    <w:rsid w:val="009B1D5D"/>
    <w:rsid w:val="009B2373"/>
    <w:rsid w:val="009B7728"/>
    <w:rsid w:val="009C0594"/>
    <w:rsid w:val="009C124A"/>
    <w:rsid w:val="009C1744"/>
    <w:rsid w:val="009C1A83"/>
    <w:rsid w:val="009C21FB"/>
    <w:rsid w:val="009C2B1B"/>
    <w:rsid w:val="009C3956"/>
    <w:rsid w:val="009C46E7"/>
    <w:rsid w:val="009C5162"/>
    <w:rsid w:val="009C5571"/>
    <w:rsid w:val="009D0706"/>
    <w:rsid w:val="009D1415"/>
    <w:rsid w:val="009D18BA"/>
    <w:rsid w:val="009D2723"/>
    <w:rsid w:val="009D2886"/>
    <w:rsid w:val="009D3397"/>
    <w:rsid w:val="009D47B1"/>
    <w:rsid w:val="009D4953"/>
    <w:rsid w:val="009D513E"/>
    <w:rsid w:val="009E4AFC"/>
    <w:rsid w:val="009E7037"/>
    <w:rsid w:val="009F35D8"/>
    <w:rsid w:val="009F5F42"/>
    <w:rsid w:val="009F6E39"/>
    <w:rsid w:val="00A00186"/>
    <w:rsid w:val="00A02E86"/>
    <w:rsid w:val="00A03164"/>
    <w:rsid w:val="00A0366E"/>
    <w:rsid w:val="00A03F9F"/>
    <w:rsid w:val="00A04C20"/>
    <w:rsid w:val="00A101CC"/>
    <w:rsid w:val="00A1145F"/>
    <w:rsid w:val="00A11E28"/>
    <w:rsid w:val="00A1326C"/>
    <w:rsid w:val="00A20C1D"/>
    <w:rsid w:val="00A21099"/>
    <w:rsid w:val="00A2208B"/>
    <w:rsid w:val="00A2454D"/>
    <w:rsid w:val="00A25BD3"/>
    <w:rsid w:val="00A26A7A"/>
    <w:rsid w:val="00A26E76"/>
    <w:rsid w:val="00A3051F"/>
    <w:rsid w:val="00A30E82"/>
    <w:rsid w:val="00A3231B"/>
    <w:rsid w:val="00A338A6"/>
    <w:rsid w:val="00A33FF5"/>
    <w:rsid w:val="00A402E5"/>
    <w:rsid w:val="00A407A4"/>
    <w:rsid w:val="00A40E65"/>
    <w:rsid w:val="00A411CB"/>
    <w:rsid w:val="00A412AA"/>
    <w:rsid w:val="00A425E8"/>
    <w:rsid w:val="00A426E0"/>
    <w:rsid w:val="00A45465"/>
    <w:rsid w:val="00A52CCA"/>
    <w:rsid w:val="00A55616"/>
    <w:rsid w:val="00A57B9D"/>
    <w:rsid w:val="00A62A77"/>
    <w:rsid w:val="00A64143"/>
    <w:rsid w:val="00A64F1C"/>
    <w:rsid w:val="00A65542"/>
    <w:rsid w:val="00A667AD"/>
    <w:rsid w:val="00A66DF1"/>
    <w:rsid w:val="00A70D4B"/>
    <w:rsid w:val="00A727F2"/>
    <w:rsid w:val="00A73356"/>
    <w:rsid w:val="00A81B56"/>
    <w:rsid w:val="00A87135"/>
    <w:rsid w:val="00A9170D"/>
    <w:rsid w:val="00A9187F"/>
    <w:rsid w:val="00A91B10"/>
    <w:rsid w:val="00A91B77"/>
    <w:rsid w:val="00A92454"/>
    <w:rsid w:val="00A92B41"/>
    <w:rsid w:val="00A9491B"/>
    <w:rsid w:val="00AA000F"/>
    <w:rsid w:val="00AA0D3C"/>
    <w:rsid w:val="00AA71F0"/>
    <w:rsid w:val="00AA7231"/>
    <w:rsid w:val="00AA7C8E"/>
    <w:rsid w:val="00AB2BD3"/>
    <w:rsid w:val="00AB4449"/>
    <w:rsid w:val="00AB59AA"/>
    <w:rsid w:val="00AB5F7C"/>
    <w:rsid w:val="00AB6BFB"/>
    <w:rsid w:val="00AC0AAB"/>
    <w:rsid w:val="00AC0F16"/>
    <w:rsid w:val="00AC358E"/>
    <w:rsid w:val="00AC3A00"/>
    <w:rsid w:val="00AC622E"/>
    <w:rsid w:val="00AC6448"/>
    <w:rsid w:val="00AC6C4E"/>
    <w:rsid w:val="00AD22A1"/>
    <w:rsid w:val="00AD24A3"/>
    <w:rsid w:val="00AD5B78"/>
    <w:rsid w:val="00AD5DBA"/>
    <w:rsid w:val="00AE21CB"/>
    <w:rsid w:val="00AE4A03"/>
    <w:rsid w:val="00AE63BD"/>
    <w:rsid w:val="00AF086B"/>
    <w:rsid w:val="00AF1176"/>
    <w:rsid w:val="00AF241A"/>
    <w:rsid w:val="00AF2DCB"/>
    <w:rsid w:val="00AF2F35"/>
    <w:rsid w:val="00AF3C11"/>
    <w:rsid w:val="00AF5CDF"/>
    <w:rsid w:val="00AF5FF5"/>
    <w:rsid w:val="00AF70D0"/>
    <w:rsid w:val="00B0068C"/>
    <w:rsid w:val="00B0235A"/>
    <w:rsid w:val="00B0487A"/>
    <w:rsid w:val="00B04E39"/>
    <w:rsid w:val="00B1121A"/>
    <w:rsid w:val="00B1299D"/>
    <w:rsid w:val="00B12AA3"/>
    <w:rsid w:val="00B13848"/>
    <w:rsid w:val="00B13BFA"/>
    <w:rsid w:val="00B13CB1"/>
    <w:rsid w:val="00B15993"/>
    <w:rsid w:val="00B15F59"/>
    <w:rsid w:val="00B16428"/>
    <w:rsid w:val="00B23C40"/>
    <w:rsid w:val="00B24D8B"/>
    <w:rsid w:val="00B33CE4"/>
    <w:rsid w:val="00B33DC7"/>
    <w:rsid w:val="00B37B1E"/>
    <w:rsid w:val="00B42786"/>
    <w:rsid w:val="00B42ED2"/>
    <w:rsid w:val="00B450FB"/>
    <w:rsid w:val="00B4688A"/>
    <w:rsid w:val="00B47277"/>
    <w:rsid w:val="00B47720"/>
    <w:rsid w:val="00B51ABC"/>
    <w:rsid w:val="00B51C34"/>
    <w:rsid w:val="00B522BB"/>
    <w:rsid w:val="00B57051"/>
    <w:rsid w:val="00B6124D"/>
    <w:rsid w:val="00B61801"/>
    <w:rsid w:val="00B65EDF"/>
    <w:rsid w:val="00B66F19"/>
    <w:rsid w:val="00B67409"/>
    <w:rsid w:val="00B67ADE"/>
    <w:rsid w:val="00B70B8D"/>
    <w:rsid w:val="00B75097"/>
    <w:rsid w:val="00B75BB4"/>
    <w:rsid w:val="00B80789"/>
    <w:rsid w:val="00B813EF"/>
    <w:rsid w:val="00B82D67"/>
    <w:rsid w:val="00B859D2"/>
    <w:rsid w:val="00B908F5"/>
    <w:rsid w:val="00B93A11"/>
    <w:rsid w:val="00B940A4"/>
    <w:rsid w:val="00B9456A"/>
    <w:rsid w:val="00BA173B"/>
    <w:rsid w:val="00BA3233"/>
    <w:rsid w:val="00BA3B3A"/>
    <w:rsid w:val="00BA3E34"/>
    <w:rsid w:val="00BA501E"/>
    <w:rsid w:val="00BA7874"/>
    <w:rsid w:val="00BB0ECB"/>
    <w:rsid w:val="00BB2DB8"/>
    <w:rsid w:val="00BB3645"/>
    <w:rsid w:val="00BB39FE"/>
    <w:rsid w:val="00BB45C3"/>
    <w:rsid w:val="00BB5B3B"/>
    <w:rsid w:val="00BB6DD3"/>
    <w:rsid w:val="00BB70C7"/>
    <w:rsid w:val="00BC149A"/>
    <w:rsid w:val="00BC2B80"/>
    <w:rsid w:val="00BC323A"/>
    <w:rsid w:val="00BD0053"/>
    <w:rsid w:val="00BD1AB7"/>
    <w:rsid w:val="00BD7C66"/>
    <w:rsid w:val="00BE54C6"/>
    <w:rsid w:val="00BE6F71"/>
    <w:rsid w:val="00BE7E8F"/>
    <w:rsid w:val="00BF48F0"/>
    <w:rsid w:val="00BF4E3B"/>
    <w:rsid w:val="00BF5086"/>
    <w:rsid w:val="00BF781B"/>
    <w:rsid w:val="00C01FDD"/>
    <w:rsid w:val="00C0621F"/>
    <w:rsid w:val="00C07454"/>
    <w:rsid w:val="00C10E86"/>
    <w:rsid w:val="00C11D12"/>
    <w:rsid w:val="00C12863"/>
    <w:rsid w:val="00C14830"/>
    <w:rsid w:val="00C149B9"/>
    <w:rsid w:val="00C16C5F"/>
    <w:rsid w:val="00C17094"/>
    <w:rsid w:val="00C21409"/>
    <w:rsid w:val="00C22A1F"/>
    <w:rsid w:val="00C2455D"/>
    <w:rsid w:val="00C249C3"/>
    <w:rsid w:val="00C25E35"/>
    <w:rsid w:val="00C261C4"/>
    <w:rsid w:val="00C30443"/>
    <w:rsid w:val="00C3065E"/>
    <w:rsid w:val="00C31B59"/>
    <w:rsid w:val="00C345F2"/>
    <w:rsid w:val="00C354E4"/>
    <w:rsid w:val="00C3665E"/>
    <w:rsid w:val="00C44609"/>
    <w:rsid w:val="00C462CD"/>
    <w:rsid w:val="00C47EA2"/>
    <w:rsid w:val="00C51394"/>
    <w:rsid w:val="00C52141"/>
    <w:rsid w:val="00C5477C"/>
    <w:rsid w:val="00C54791"/>
    <w:rsid w:val="00C57BA0"/>
    <w:rsid w:val="00C60A77"/>
    <w:rsid w:val="00C63F1E"/>
    <w:rsid w:val="00C658AB"/>
    <w:rsid w:val="00C66803"/>
    <w:rsid w:val="00C676A6"/>
    <w:rsid w:val="00C67CFF"/>
    <w:rsid w:val="00C72CE5"/>
    <w:rsid w:val="00C743F2"/>
    <w:rsid w:val="00C77650"/>
    <w:rsid w:val="00C77F75"/>
    <w:rsid w:val="00C80E66"/>
    <w:rsid w:val="00C8399C"/>
    <w:rsid w:val="00C83C79"/>
    <w:rsid w:val="00C91CF7"/>
    <w:rsid w:val="00C92D21"/>
    <w:rsid w:val="00C95927"/>
    <w:rsid w:val="00C95AC6"/>
    <w:rsid w:val="00CA1FFC"/>
    <w:rsid w:val="00CA2A44"/>
    <w:rsid w:val="00CA3449"/>
    <w:rsid w:val="00CB1840"/>
    <w:rsid w:val="00CB21C7"/>
    <w:rsid w:val="00CB2DB6"/>
    <w:rsid w:val="00CB50D2"/>
    <w:rsid w:val="00CB5636"/>
    <w:rsid w:val="00CB6583"/>
    <w:rsid w:val="00CB7E03"/>
    <w:rsid w:val="00CC7685"/>
    <w:rsid w:val="00CD3FAE"/>
    <w:rsid w:val="00CE1C65"/>
    <w:rsid w:val="00CE5251"/>
    <w:rsid w:val="00CE6450"/>
    <w:rsid w:val="00CE64FE"/>
    <w:rsid w:val="00CF1AE5"/>
    <w:rsid w:val="00CF7C59"/>
    <w:rsid w:val="00D00DBB"/>
    <w:rsid w:val="00D01FF1"/>
    <w:rsid w:val="00D03073"/>
    <w:rsid w:val="00D04874"/>
    <w:rsid w:val="00D053B5"/>
    <w:rsid w:val="00D05F7A"/>
    <w:rsid w:val="00D067CA"/>
    <w:rsid w:val="00D154A8"/>
    <w:rsid w:val="00D15EBA"/>
    <w:rsid w:val="00D16F65"/>
    <w:rsid w:val="00D17E2E"/>
    <w:rsid w:val="00D206D9"/>
    <w:rsid w:val="00D222D3"/>
    <w:rsid w:val="00D23483"/>
    <w:rsid w:val="00D2667B"/>
    <w:rsid w:val="00D335F9"/>
    <w:rsid w:val="00D34082"/>
    <w:rsid w:val="00D34C65"/>
    <w:rsid w:val="00D37F38"/>
    <w:rsid w:val="00D40C15"/>
    <w:rsid w:val="00D4123B"/>
    <w:rsid w:val="00D42FB2"/>
    <w:rsid w:val="00D4331E"/>
    <w:rsid w:val="00D55DEF"/>
    <w:rsid w:val="00D566A0"/>
    <w:rsid w:val="00D576DE"/>
    <w:rsid w:val="00D609C7"/>
    <w:rsid w:val="00D623C8"/>
    <w:rsid w:val="00D64394"/>
    <w:rsid w:val="00D71B0F"/>
    <w:rsid w:val="00D71D03"/>
    <w:rsid w:val="00D721F3"/>
    <w:rsid w:val="00D72BDA"/>
    <w:rsid w:val="00D75D57"/>
    <w:rsid w:val="00D82404"/>
    <w:rsid w:val="00D82613"/>
    <w:rsid w:val="00D844FB"/>
    <w:rsid w:val="00D8468A"/>
    <w:rsid w:val="00D854EB"/>
    <w:rsid w:val="00D85CE9"/>
    <w:rsid w:val="00D9196D"/>
    <w:rsid w:val="00D9216B"/>
    <w:rsid w:val="00D94294"/>
    <w:rsid w:val="00D94FFF"/>
    <w:rsid w:val="00D9527D"/>
    <w:rsid w:val="00DA0122"/>
    <w:rsid w:val="00DA0850"/>
    <w:rsid w:val="00DA1500"/>
    <w:rsid w:val="00DA1B4F"/>
    <w:rsid w:val="00DA203F"/>
    <w:rsid w:val="00DA4801"/>
    <w:rsid w:val="00DA4841"/>
    <w:rsid w:val="00DA549B"/>
    <w:rsid w:val="00DA6972"/>
    <w:rsid w:val="00DA7833"/>
    <w:rsid w:val="00DB10B2"/>
    <w:rsid w:val="00DB611D"/>
    <w:rsid w:val="00DC31C6"/>
    <w:rsid w:val="00DC3904"/>
    <w:rsid w:val="00DC3F50"/>
    <w:rsid w:val="00DC4A0A"/>
    <w:rsid w:val="00DC592D"/>
    <w:rsid w:val="00DC6517"/>
    <w:rsid w:val="00DD1A34"/>
    <w:rsid w:val="00DD3E4D"/>
    <w:rsid w:val="00DD4933"/>
    <w:rsid w:val="00DF290F"/>
    <w:rsid w:val="00DF5F4E"/>
    <w:rsid w:val="00DF71B0"/>
    <w:rsid w:val="00DF7A16"/>
    <w:rsid w:val="00E006FD"/>
    <w:rsid w:val="00E02D3E"/>
    <w:rsid w:val="00E047DA"/>
    <w:rsid w:val="00E0773E"/>
    <w:rsid w:val="00E07A8D"/>
    <w:rsid w:val="00E10CBE"/>
    <w:rsid w:val="00E121DF"/>
    <w:rsid w:val="00E13B4B"/>
    <w:rsid w:val="00E15628"/>
    <w:rsid w:val="00E16A54"/>
    <w:rsid w:val="00E22034"/>
    <w:rsid w:val="00E26E88"/>
    <w:rsid w:val="00E2744F"/>
    <w:rsid w:val="00E30B41"/>
    <w:rsid w:val="00E31447"/>
    <w:rsid w:val="00E35677"/>
    <w:rsid w:val="00E401A0"/>
    <w:rsid w:val="00E40C51"/>
    <w:rsid w:val="00E41A05"/>
    <w:rsid w:val="00E41B91"/>
    <w:rsid w:val="00E420DE"/>
    <w:rsid w:val="00E437C5"/>
    <w:rsid w:val="00E44C41"/>
    <w:rsid w:val="00E46C90"/>
    <w:rsid w:val="00E52F4D"/>
    <w:rsid w:val="00E53419"/>
    <w:rsid w:val="00E57466"/>
    <w:rsid w:val="00E57CC3"/>
    <w:rsid w:val="00E611A9"/>
    <w:rsid w:val="00E65DB5"/>
    <w:rsid w:val="00E66892"/>
    <w:rsid w:val="00E67BF3"/>
    <w:rsid w:val="00E71130"/>
    <w:rsid w:val="00E72955"/>
    <w:rsid w:val="00E738A5"/>
    <w:rsid w:val="00E74B1E"/>
    <w:rsid w:val="00E74D04"/>
    <w:rsid w:val="00E7664C"/>
    <w:rsid w:val="00E76948"/>
    <w:rsid w:val="00E7699F"/>
    <w:rsid w:val="00E77402"/>
    <w:rsid w:val="00E777DC"/>
    <w:rsid w:val="00E80217"/>
    <w:rsid w:val="00E809BB"/>
    <w:rsid w:val="00E861F3"/>
    <w:rsid w:val="00E87280"/>
    <w:rsid w:val="00E8729D"/>
    <w:rsid w:val="00E87CBF"/>
    <w:rsid w:val="00E918C9"/>
    <w:rsid w:val="00E92DC4"/>
    <w:rsid w:val="00E93BBA"/>
    <w:rsid w:val="00E952C1"/>
    <w:rsid w:val="00E9565F"/>
    <w:rsid w:val="00EA0E5A"/>
    <w:rsid w:val="00EA21A9"/>
    <w:rsid w:val="00EA2518"/>
    <w:rsid w:val="00EA2D7D"/>
    <w:rsid w:val="00EA3E2F"/>
    <w:rsid w:val="00EA4B19"/>
    <w:rsid w:val="00EA54CC"/>
    <w:rsid w:val="00EA7E4D"/>
    <w:rsid w:val="00EA7F10"/>
    <w:rsid w:val="00EB0980"/>
    <w:rsid w:val="00EB1329"/>
    <w:rsid w:val="00EB5B1E"/>
    <w:rsid w:val="00EB75E2"/>
    <w:rsid w:val="00EB76E8"/>
    <w:rsid w:val="00EC0E83"/>
    <w:rsid w:val="00EC33A8"/>
    <w:rsid w:val="00EC4B87"/>
    <w:rsid w:val="00EC7543"/>
    <w:rsid w:val="00ED21F9"/>
    <w:rsid w:val="00ED415F"/>
    <w:rsid w:val="00ED4A2B"/>
    <w:rsid w:val="00ED5A39"/>
    <w:rsid w:val="00ED61B2"/>
    <w:rsid w:val="00ED68EA"/>
    <w:rsid w:val="00ED77C8"/>
    <w:rsid w:val="00ED7805"/>
    <w:rsid w:val="00ED7BFC"/>
    <w:rsid w:val="00EE0BDA"/>
    <w:rsid w:val="00EE788B"/>
    <w:rsid w:val="00EF3C88"/>
    <w:rsid w:val="00EF7374"/>
    <w:rsid w:val="00F034E4"/>
    <w:rsid w:val="00F0388D"/>
    <w:rsid w:val="00F11CBF"/>
    <w:rsid w:val="00F11DFA"/>
    <w:rsid w:val="00F13DF9"/>
    <w:rsid w:val="00F15484"/>
    <w:rsid w:val="00F202D8"/>
    <w:rsid w:val="00F20550"/>
    <w:rsid w:val="00F21608"/>
    <w:rsid w:val="00F216C2"/>
    <w:rsid w:val="00F235E3"/>
    <w:rsid w:val="00F25FD4"/>
    <w:rsid w:val="00F27773"/>
    <w:rsid w:val="00F31ABA"/>
    <w:rsid w:val="00F31BBB"/>
    <w:rsid w:val="00F328CC"/>
    <w:rsid w:val="00F32A64"/>
    <w:rsid w:val="00F344A1"/>
    <w:rsid w:val="00F34FBF"/>
    <w:rsid w:val="00F40BFA"/>
    <w:rsid w:val="00F41843"/>
    <w:rsid w:val="00F420A0"/>
    <w:rsid w:val="00F4218C"/>
    <w:rsid w:val="00F44798"/>
    <w:rsid w:val="00F44C08"/>
    <w:rsid w:val="00F44F44"/>
    <w:rsid w:val="00F450EA"/>
    <w:rsid w:val="00F46255"/>
    <w:rsid w:val="00F470B7"/>
    <w:rsid w:val="00F47635"/>
    <w:rsid w:val="00F52A54"/>
    <w:rsid w:val="00F52D7E"/>
    <w:rsid w:val="00F53F44"/>
    <w:rsid w:val="00F5496B"/>
    <w:rsid w:val="00F56D26"/>
    <w:rsid w:val="00F570B4"/>
    <w:rsid w:val="00F61A57"/>
    <w:rsid w:val="00F63AB9"/>
    <w:rsid w:val="00F6461E"/>
    <w:rsid w:val="00F6538C"/>
    <w:rsid w:val="00F70713"/>
    <w:rsid w:val="00F73229"/>
    <w:rsid w:val="00F7447C"/>
    <w:rsid w:val="00F80086"/>
    <w:rsid w:val="00F806CD"/>
    <w:rsid w:val="00F8168D"/>
    <w:rsid w:val="00F819A3"/>
    <w:rsid w:val="00F82509"/>
    <w:rsid w:val="00F84600"/>
    <w:rsid w:val="00F85687"/>
    <w:rsid w:val="00F92FB0"/>
    <w:rsid w:val="00FA059D"/>
    <w:rsid w:val="00FA122E"/>
    <w:rsid w:val="00FA1473"/>
    <w:rsid w:val="00FA251F"/>
    <w:rsid w:val="00FA2690"/>
    <w:rsid w:val="00FA2F39"/>
    <w:rsid w:val="00FA47E1"/>
    <w:rsid w:val="00FB03BA"/>
    <w:rsid w:val="00FB322E"/>
    <w:rsid w:val="00FB7098"/>
    <w:rsid w:val="00FC1365"/>
    <w:rsid w:val="00FC157D"/>
    <w:rsid w:val="00FD311B"/>
    <w:rsid w:val="00FD4661"/>
    <w:rsid w:val="00FD481C"/>
    <w:rsid w:val="00FD4D6D"/>
    <w:rsid w:val="00FD70FC"/>
    <w:rsid w:val="00FD7CD5"/>
    <w:rsid w:val="00FE160D"/>
    <w:rsid w:val="00FE33AA"/>
    <w:rsid w:val="00FE6D19"/>
    <w:rsid w:val="00FF14FF"/>
    <w:rsid w:val="00FF30F6"/>
    <w:rsid w:val="00FF4480"/>
    <w:rsid w:val="00FF5538"/>
    <w:rsid w:val="00FF6EEC"/>
    <w:rsid w:val="00FF76F7"/>
  </w:rsids>
  <m:mathPr>
    <m:mathFont m:val="Cambria Math"/>
    <m:brkBin m:val="before"/>
    <m:brkBinSub m:val="--"/>
    <m:smallFrac m:val="0"/>
    <m:dispDef/>
    <m:lMargin m:val="0"/>
    <m:rMargin m:val="0"/>
    <m:defJc m:val="centerGroup"/>
    <m:wrapIndent m:val="1440"/>
    <m:intLim m:val="subSup"/>
    <m:naryLim m:val="undOvr"/>
  </m:mathPr>
  <w:themeFontLang w:val="pl-PL"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9831A4"/>
  <w15:docId w15:val="{F9E91D9E-5FB6-498B-8C42-3C8C0BB63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47635"/>
  </w:style>
  <w:style w:type="paragraph" w:styleId="Nagwek2">
    <w:name w:val="heading 2"/>
    <w:basedOn w:val="Normalny"/>
    <w:next w:val="Normalny"/>
    <w:link w:val="Nagwek2Znak"/>
    <w:uiPriority w:val="9"/>
    <w:unhideWhenUsed/>
    <w:qFormat/>
    <w:rsid w:val="004A28E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177E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3706A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706A6"/>
    <w:rPr>
      <w:rFonts w:ascii="Tahoma" w:hAnsi="Tahoma" w:cs="Tahoma"/>
      <w:sz w:val="16"/>
      <w:szCs w:val="16"/>
    </w:rPr>
  </w:style>
  <w:style w:type="paragraph" w:customStyle="1" w:styleId="TYTUAKTUprzedmiotregulacjiustawylubrozporzdzenia">
    <w:name w:val="TYTUŁ_AKTU – przedmiot regulacji ustawy lub rozporządzenia"/>
    <w:next w:val="Normalny"/>
    <w:uiPriority w:val="6"/>
    <w:qFormat/>
    <w:rsid w:val="003706A6"/>
    <w:pPr>
      <w:keepNext/>
      <w:suppressAutoHyphens/>
      <w:spacing w:before="120" w:after="360" w:line="360" w:lineRule="auto"/>
      <w:jc w:val="center"/>
    </w:pPr>
    <w:rPr>
      <w:rFonts w:ascii="Times" w:eastAsia="Times New Roman" w:hAnsi="Times" w:cs="Arial"/>
      <w:b/>
      <w:bCs/>
      <w:sz w:val="24"/>
      <w:szCs w:val="24"/>
      <w:lang w:eastAsia="pl-PL"/>
    </w:rPr>
  </w:style>
  <w:style w:type="paragraph" w:customStyle="1" w:styleId="ARTartustawynprozporzdzenia">
    <w:name w:val="ART(§) – art. ustawy (§ np. rozporządzenia)"/>
    <w:uiPriority w:val="11"/>
    <w:qFormat/>
    <w:rsid w:val="00983A14"/>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PKTpunkt">
    <w:name w:val="PKT – punkt"/>
    <w:uiPriority w:val="13"/>
    <w:qFormat/>
    <w:rsid w:val="00983A14"/>
    <w:pPr>
      <w:spacing w:after="0" w:line="360" w:lineRule="auto"/>
      <w:ind w:left="510" w:hanging="510"/>
      <w:jc w:val="both"/>
    </w:pPr>
    <w:rPr>
      <w:rFonts w:ascii="Times" w:eastAsia="Times New Roman" w:hAnsi="Times" w:cs="Arial"/>
      <w:bCs/>
      <w:sz w:val="24"/>
      <w:szCs w:val="20"/>
      <w:lang w:eastAsia="pl-PL"/>
    </w:rPr>
  </w:style>
  <w:style w:type="character" w:styleId="Odwoaniedokomentarza">
    <w:name w:val="annotation reference"/>
    <w:uiPriority w:val="99"/>
    <w:semiHidden/>
    <w:rsid w:val="00983A14"/>
    <w:rPr>
      <w:sz w:val="16"/>
      <w:szCs w:val="16"/>
    </w:rPr>
  </w:style>
  <w:style w:type="paragraph" w:styleId="Tekstkomentarza">
    <w:name w:val="annotation text"/>
    <w:basedOn w:val="Normalny"/>
    <w:link w:val="TekstkomentarzaZnak"/>
    <w:uiPriority w:val="99"/>
    <w:semiHidden/>
    <w:rsid w:val="00983A14"/>
    <w:pPr>
      <w:widowControl w:val="0"/>
      <w:autoSpaceDE w:val="0"/>
      <w:autoSpaceDN w:val="0"/>
      <w:adjustRightInd w:val="0"/>
      <w:spacing w:after="0" w:line="360" w:lineRule="auto"/>
    </w:pPr>
    <w:rPr>
      <w:rFonts w:ascii="Times" w:eastAsia="Times New Roman" w:hAnsi="Times" w:cs="Times New Roman"/>
      <w:sz w:val="24"/>
      <w:szCs w:val="24"/>
      <w:lang w:eastAsia="pl-PL"/>
    </w:rPr>
  </w:style>
  <w:style w:type="character" w:customStyle="1" w:styleId="TekstkomentarzaZnak">
    <w:name w:val="Tekst komentarza Znak"/>
    <w:basedOn w:val="Domylnaczcionkaakapitu"/>
    <w:link w:val="Tekstkomentarza"/>
    <w:uiPriority w:val="99"/>
    <w:semiHidden/>
    <w:rsid w:val="00983A14"/>
    <w:rPr>
      <w:rFonts w:ascii="Times" w:eastAsia="Times New Roman" w:hAnsi="Times" w:cs="Times New Roman"/>
      <w:sz w:val="24"/>
      <w:szCs w:val="24"/>
      <w:lang w:eastAsia="pl-PL"/>
    </w:rPr>
  </w:style>
  <w:style w:type="character" w:customStyle="1" w:styleId="Ppogrubienie">
    <w:name w:val="_P_ – pogrubienie"/>
    <w:uiPriority w:val="1"/>
    <w:qFormat/>
    <w:rsid w:val="00983A14"/>
    <w:rPr>
      <w:b/>
    </w:rPr>
  </w:style>
  <w:style w:type="paragraph" w:styleId="Akapitzlist">
    <w:name w:val="List Paragraph"/>
    <w:basedOn w:val="Normalny"/>
    <w:uiPriority w:val="72"/>
    <w:qFormat/>
    <w:rsid w:val="00983A14"/>
    <w:pPr>
      <w:ind w:left="720"/>
      <w:contextualSpacing/>
    </w:pPr>
  </w:style>
  <w:style w:type="paragraph" w:customStyle="1" w:styleId="USTustnpkodeksu">
    <w:name w:val="UST(§) – ust. (§ np. kodeksu)"/>
    <w:basedOn w:val="ARTartustawynprozporzdzenia"/>
    <w:uiPriority w:val="12"/>
    <w:qFormat/>
    <w:rsid w:val="009A3389"/>
    <w:pPr>
      <w:spacing w:before="0"/>
    </w:pPr>
    <w:rPr>
      <w:bCs/>
    </w:rPr>
  </w:style>
  <w:style w:type="paragraph" w:styleId="Nagwek">
    <w:name w:val="header"/>
    <w:basedOn w:val="Normalny"/>
    <w:link w:val="NagwekZnak"/>
    <w:uiPriority w:val="99"/>
    <w:unhideWhenUsed/>
    <w:rsid w:val="00735AA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35AA5"/>
  </w:style>
  <w:style w:type="paragraph" w:styleId="Stopka">
    <w:name w:val="footer"/>
    <w:basedOn w:val="Normalny"/>
    <w:link w:val="StopkaZnak"/>
    <w:uiPriority w:val="99"/>
    <w:unhideWhenUsed/>
    <w:rsid w:val="00735AA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35AA5"/>
  </w:style>
  <w:style w:type="character" w:customStyle="1" w:styleId="Nagwek2Znak">
    <w:name w:val="Nagłówek 2 Znak"/>
    <w:basedOn w:val="Domylnaczcionkaakapitu"/>
    <w:link w:val="Nagwek2"/>
    <w:uiPriority w:val="9"/>
    <w:rsid w:val="004A28E0"/>
    <w:rPr>
      <w:rFonts w:asciiTheme="majorHAnsi" w:eastAsiaTheme="majorEastAsia" w:hAnsiTheme="majorHAnsi" w:cstheme="majorBidi"/>
      <w:b/>
      <w:bCs/>
      <w:color w:val="4F81BD" w:themeColor="accent1"/>
      <w:sz w:val="26"/>
      <w:szCs w:val="26"/>
    </w:rPr>
  </w:style>
  <w:style w:type="paragraph" w:styleId="Tekstprzypisukocowego">
    <w:name w:val="endnote text"/>
    <w:basedOn w:val="Normalny"/>
    <w:link w:val="TekstprzypisukocowegoZnak"/>
    <w:uiPriority w:val="99"/>
    <w:semiHidden/>
    <w:unhideWhenUsed/>
    <w:rsid w:val="008803A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803A2"/>
    <w:rPr>
      <w:sz w:val="20"/>
      <w:szCs w:val="20"/>
    </w:rPr>
  </w:style>
  <w:style w:type="character" w:styleId="Odwoanieprzypisukocowego">
    <w:name w:val="endnote reference"/>
    <w:basedOn w:val="Domylnaczcionkaakapitu"/>
    <w:uiPriority w:val="99"/>
    <w:semiHidden/>
    <w:unhideWhenUsed/>
    <w:rsid w:val="008803A2"/>
    <w:rPr>
      <w:vertAlign w:val="superscript"/>
    </w:rPr>
  </w:style>
  <w:style w:type="paragraph" w:styleId="Tematkomentarza">
    <w:name w:val="annotation subject"/>
    <w:basedOn w:val="Tekstkomentarza"/>
    <w:next w:val="Tekstkomentarza"/>
    <w:link w:val="TematkomentarzaZnak"/>
    <w:uiPriority w:val="99"/>
    <w:semiHidden/>
    <w:unhideWhenUsed/>
    <w:rsid w:val="000F4A83"/>
    <w:pPr>
      <w:widowControl/>
      <w:autoSpaceDE/>
      <w:autoSpaceDN/>
      <w:adjustRightInd/>
      <w:spacing w:after="200" w:line="240" w:lineRule="auto"/>
    </w:pPr>
    <w:rPr>
      <w:rFonts w:asciiTheme="minorHAnsi" w:eastAsiaTheme="minorHAnsi" w:hAnsiTheme="minorHAnsi" w:cstheme="minorBidi"/>
      <w:b/>
      <w:bCs/>
      <w:sz w:val="20"/>
      <w:szCs w:val="20"/>
      <w:lang w:eastAsia="en-US"/>
    </w:rPr>
  </w:style>
  <w:style w:type="character" w:customStyle="1" w:styleId="TematkomentarzaZnak">
    <w:name w:val="Temat komentarza Znak"/>
    <w:basedOn w:val="TekstkomentarzaZnak"/>
    <w:link w:val="Tematkomentarza"/>
    <w:uiPriority w:val="99"/>
    <w:semiHidden/>
    <w:rsid w:val="000F4A83"/>
    <w:rPr>
      <w:rFonts w:ascii="Times" w:eastAsia="Times New Roman" w:hAnsi="Times" w:cs="Times New Roman"/>
      <w:b/>
      <w:bCs/>
      <w:sz w:val="20"/>
      <w:szCs w:val="20"/>
      <w:lang w:eastAsia="pl-PL"/>
    </w:rPr>
  </w:style>
  <w:style w:type="paragraph" w:styleId="Poprawka">
    <w:name w:val="Revision"/>
    <w:hidden/>
    <w:uiPriority w:val="99"/>
    <w:semiHidden/>
    <w:rsid w:val="00284CBC"/>
    <w:pPr>
      <w:spacing w:after="0" w:line="240" w:lineRule="auto"/>
    </w:pPr>
  </w:style>
  <w:style w:type="character" w:styleId="Hipercze">
    <w:name w:val="Hyperlink"/>
    <w:basedOn w:val="Domylnaczcionkaakapitu"/>
    <w:uiPriority w:val="99"/>
    <w:unhideWhenUsed/>
    <w:rsid w:val="004A0FC8"/>
    <w:rPr>
      <w:color w:val="0000FF" w:themeColor="hyperlink"/>
      <w:u w:val="single"/>
    </w:rPr>
  </w:style>
  <w:style w:type="character" w:styleId="Nierozpoznanawzmianka">
    <w:name w:val="Unresolved Mention"/>
    <w:basedOn w:val="Domylnaczcionkaakapitu"/>
    <w:uiPriority w:val="99"/>
    <w:semiHidden/>
    <w:unhideWhenUsed/>
    <w:rsid w:val="004A0FC8"/>
    <w:rPr>
      <w:color w:val="605E5C"/>
      <w:shd w:val="clear" w:color="auto" w:fill="E1DFDD"/>
    </w:rPr>
  </w:style>
  <w:style w:type="paragraph" w:styleId="Tekstprzypisudolnego">
    <w:name w:val="footnote text"/>
    <w:basedOn w:val="Normalny"/>
    <w:link w:val="TekstprzypisudolnegoZnak"/>
    <w:uiPriority w:val="99"/>
    <w:semiHidden/>
    <w:unhideWhenUsed/>
    <w:rsid w:val="001839D2"/>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1839D2"/>
    <w:rPr>
      <w:sz w:val="20"/>
      <w:szCs w:val="20"/>
    </w:rPr>
  </w:style>
  <w:style w:type="character" w:styleId="Odwoanieprzypisudolnego">
    <w:name w:val="footnote reference"/>
    <w:basedOn w:val="Domylnaczcionkaakapitu"/>
    <w:uiPriority w:val="99"/>
    <w:semiHidden/>
    <w:unhideWhenUsed/>
    <w:rsid w:val="001839D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140463">
      <w:bodyDiv w:val="1"/>
      <w:marLeft w:val="0"/>
      <w:marRight w:val="0"/>
      <w:marTop w:val="0"/>
      <w:marBottom w:val="0"/>
      <w:divBdr>
        <w:top w:val="none" w:sz="0" w:space="0" w:color="auto"/>
        <w:left w:val="none" w:sz="0" w:space="0" w:color="auto"/>
        <w:bottom w:val="none" w:sz="0" w:space="0" w:color="auto"/>
        <w:right w:val="none" w:sz="0" w:space="0" w:color="auto"/>
      </w:divBdr>
    </w:div>
    <w:div w:id="621884763">
      <w:bodyDiv w:val="1"/>
      <w:marLeft w:val="0"/>
      <w:marRight w:val="0"/>
      <w:marTop w:val="0"/>
      <w:marBottom w:val="0"/>
      <w:divBdr>
        <w:top w:val="none" w:sz="0" w:space="0" w:color="auto"/>
        <w:left w:val="none" w:sz="0" w:space="0" w:color="auto"/>
        <w:bottom w:val="none" w:sz="0" w:space="0" w:color="auto"/>
        <w:right w:val="none" w:sz="0" w:space="0" w:color="auto"/>
      </w:divBdr>
    </w:div>
    <w:div w:id="1251231102">
      <w:bodyDiv w:val="1"/>
      <w:marLeft w:val="0"/>
      <w:marRight w:val="0"/>
      <w:marTop w:val="0"/>
      <w:marBottom w:val="0"/>
      <w:divBdr>
        <w:top w:val="none" w:sz="0" w:space="0" w:color="auto"/>
        <w:left w:val="none" w:sz="0" w:space="0" w:color="auto"/>
        <w:bottom w:val="none" w:sz="0" w:space="0" w:color="auto"/>
        <w:right w:val="none" w:sz="0" w:space="0" w:color="auto"/>
      </w:divBdr>
    </w:div>
    <w:div w:id="1454714331">
      <w:bodyDiv w:val="1"/>
      <w:marLeft w:val="0"/>
      <w:marRight w:val="0"/>
      <w:marTop w:val="0"/>
      <w:marBottom w:val="0"/>
      <w:divBdr>
        <w:top w:val="none" w:sz="0" w:space="0" w:color="auto"/>
        <w:left w:val="none" w:sz="0" w:space="0" w:color="auto"/>
        <w:bottom w:val="none" w:sz="0" w:space="0" w:color="auto"/>
        <w:right w:val="none" w:sz="0" w:space="0" w:color="auto"/>
      </w:divBdr>
    </w:div>
    <w:div w:id="1763598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jestrcheb.mrit.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8C732F-8428-4244-A8BB-94A873C07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1135</TotalTime>
  <Pages>71</Pages>
  <Words>26308</Words>
  <Characters>157853</Characters>
  <Application>Microsoft Office Word</Application>
  <DocSecurity>0</DocSecurity>
  <Lines>1315</Lines>
  <Paragraphs>367</Paragraphs>
  <ScaleCrop>false</ScaleCrop>
  <HeadingPairs>
    <vt:vector size="2" baseType="variant">
      <vt:variant>
        <vt:lpstr>Tytuł</vt:lpstr>
      </vt:variant>
      <vt:variant>
        <vt:i4>1</vt:i4>
      </vt:variant>
    </vt:vector>
  </HeadingPairs>
  <TitlesOfParts>
    <vt:vector size="1" baseType="lpstr">
      <vt:lpstr/>
    </vt:vector>
  </TitlesOfParts>
  <Company>MRR</Company>
  <LinksUpToDate>false</LinksUpToDate>
  <CharactersWithSpaces>183794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Lukasz Kaniuka</dc:creator>
  <cp:lastModifiedBy>Szpot-Prusak Katarzyna</cp:lastModifiedBy>
  <cp:revision>215</cp:revision>
  <cp:lastPrinted>2024-10-17T07:23:00Z</cp:lastPrinted>
  <dcterms:created xsi:type="dcterms:W3CDTF">2024-11-06T10:09:00Z</dcterms:created>
  <dcterms:modified xsi:type="dcterms:W3CDTF">2025-01-21T13:30:00Z</dcterms:modified>
</cp:coreProperties>
</file>